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E7E9" w14:textId="77777777" w:rsidR="00BD7647" w:rsidRDefault="00BD7647">
      <w:pPr>
        <w:pStyle w:val="BodyText"/>
        <w:spacing w:before="9"/>
        <w:ind w:left="0"/>
        <w:jc w:val="left"/>
        <w:rPr>
          <w:sz w:val="5"/>
        </w:rPr>
      </w:pPr>
    </w:p>
    <w:tbl>
      <w:tblPr>
        <w:tblW w:w="0" w:type="auto"/>
        <w:tblInd w:w="86" w:type="dxa"/>
        <w:tblLayout w:type="fixed"/>
        <w:tblCellMar>
          <w:left w:w="0" w:type="dxa"/>
          <w:right w:w="0" w:type="dxa"/>
        </w:tblCellMar>
        <w:tblLook w:val="01E0" w:firstRow="1" w:lastRow="1" w:firstColumn="1" w:lastColumn="1" w:noHBand="0" w:noVBand="0"/>
      </w:tblPr>
      <w:tblGrid>
        <w:gridCol w:w="1694"/>
        <w:gridCol w:w="6301"/>
        <w:gridCol w:w="1191"/>
      </w:tblGrid>
      <w:tr w:rsidR="00BD7647" w14:paraId="402AFD3C" w14:textId="77777777">
        <w:trPr>
          <w:trHeight w:val="1926"/>
        </w:trPr>
        <w:tc>
          <w:tcPr>
            <w:tcW w:w="1694" w:type="dxa"/>
            <w:tcBorders>
              <w:top w:val="single" w:sz="2" w:space="0" w:color="000000"/>
              <w:bottom w:val="single" w:sz="36" w:space="0" w:color="000000"/>
            </w:tcBorders>
          </w:tcPr>
          <w:p w14:paraId="2B0CC42A" w14:textId="77777777" w:rsidR="00BD7647" w:rsidRDefault="00000000">
            <w:pPr>
              <w:pStyle w:val="TableParagraph"/>
              <w:ind w:left="227" w:right="0"/>
              <w:jc w:val="left"/>
              <w:rPr>
                <w:rFonts w:ascii="Times New Roman"/>
                <w:sz w:val="20"/>
              </w:rPr>
            </w:pPr>
            <w:r>
              <w:rPr>
                <w:rFonts w:ascii="Times New Roman"/>
                <w:noProof/>
                <w:sz w:val="20"/>
              </w:rPr>
              <w:drawing>
                <wp:inline distT="0" distB="0" distL="0" distR="0" wp14:anchorId="7D7FC845" wp14:editId="2A330B7C">
                  <wp:extent cx="853756" cy="11601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53756" cy="1160145"/>
                          </a:xfrm>
                          <a:prstGeom prst="rect">
                            <a:avLst/>
                          </a:prstGeom>
                        </pic:spPr>
                      </pic:pic>
                    </a:graphicData>
                  </a:graphic>
                </wp:inline>
              </w:drawing>
            </w:r>
          </w:p>
        </w:tc>
        <w:tc>
          <w:tcPr>
            <w:tcW w:w="6301" w:type="dxa"/>
            <w:tcBorders>
              <w:top w:val="single" w:sz="2" w:space="0" w:color="000000"/>
              <w:bottom w:val="single" w:sz="36" w:space="0" w:color="000000"/>
            </w:tcBorders>
            <w:shd w:val="clear" w:color="auto" w:fill="DBE3EF"/>
          </w:tcPr>
          <w:p w14:paraId="23CE561A" w14:textId="77777777" w:rsidR="00BD7647" w:rsidRDefault="00000000">
            <w:pPr>
              <w:pStyle w:val="TableParagraph"/>
              <w:spacing w:line="267" w:lineRule="exact"/>
              <w:ind w:left="1937" w:right="0"/>
              <w:jc w:val="left"/>
            </w:pPr>
            <w:r>
              <w:rPr>
                <w:b/>
              </w:rPr>
              <w:t>Available</w:t>
            </w:r>
            <w:r>
              <w:rPr>
                <w:b/>
                <w:spacing w:val="-13"/>
              </w:rPr>
              <w:t xml:space="preserve"> </w:t>
            </w:r>
            <w:r>
              <w:rPr>
                <w:b/>
              </w:rPr>
              <w:t>online</w:t>
            </w:r>
            <w:r>
              <w:rPr>
                <w:b/>
                <w:spacing w:val="-12"/>
              </w:rPr>
              <w:t xml:space="preserve"> </w:t>
            </w:r>
            <w:r>
              <w:rPr>
                <w:b/>
              </w:rPr>
              <w:t>at</w:t>
            </w:r>
            <w:r>
              <w:rPr>
                <w:b/>
                <w:spacing w:val="-11"/>
              </w:rPr>
              <w:t xml:space="preserve"> </w:t>
            </w:r>
            <w:hyperlink r:id="rId8">
              <w:r w:rsidR="00BD7647">
                <w:rPr>
                  <w:color w:val="0461C1"/>
                  <w:spacing w:val="-2"/>
                  <w:u w:val="single" w:color="0461C1"/>
                </w:rPr>
                <w:t>www.ijmras.com</w:t>
              </w:r>
            </w:hyperlink>
          </w:p>
          <w:p w14:paraId="3DC9EAED" w14:textId="77777777" w:rsidR="00BD7647" w:rsidRDefault="00000000">
            <w:pPr>
              <w:pStyle w:val="TableParagraph"/>
              <w:spacing w:line="267" w:lineRule="exact"/>
              <w:rPr>
                <w:b/>
              </w:rPr>
            </w:pPr>
            <w:r>
              <w:rPr>
                <w:b/>
                <w:spacing w:val="-2"/>
              </w:rPr>
              <w:t>INTERNATIONAL</w:t>
            </w:r>
            <w:r>
              <w:rPr>
                <w:b/>
                <w:spacing w:val="-4"/>
              </w:rPr>
              <w:t xml:space="preserve"> </w:t>
            </w:r>
            <w:r>
              <w:rPr>
                <w:b/>
                <w:spacing w:val="-2"/>
              </w:rPr>
              <w:t>JOURNAL</w:t>
            </w:r>
            <w:r>
              <w:rPr>
                <w:b/>
                <w:spacing w:val="-5"/>
              </w:rPr>
              <w:t xml:space="preserve"> </w:t>
            </w:r>
            <w:r>
              <w:rPr>
                <w:b/>
                <w:spacing w:val="-2"/>
              </w:rPr>
              <w:t>OF</w:t>
            </w:r>
            <w:r>
              <w:rPr>
                <w:b/>
                <w:spacing w:val="-1"/>
              </w:rPr>
              <w:t xml:space="preserve"> </w:t>
            </w:r>
            <w:r>
              <w:rPr>
                <w:b/>
                <w:spacing w:val="-2"/>
              </w:rPr>
              <w:t>MULTIDISCIPLINARY</w:t>
            </w:r>
            <w:r>
              <w:rPr>
                <w:b/>
                <w:spacing w:val="-3"/>
              </w:rPr>
              <w:t xml:space="preserve"> </w:t>
            </w:r>
            <w:r>
              <w:rPr>
                <w:b/>
                <w:spacing w:val="-2"/>
              </w:rPr>
              <w:t>RESEARCH</w:t>
            </w:r>
            <w:r>
              <w:rPr>
                <w:b/>
                <w:spacing w:val="-6"/>
              </w:rPr>
              <w:t xml:space="preserve"> </w:t>
            </w:r>
            <w:r>
              <w:rPr>
                <w:b/>
                <w:spacing w:val="-5"/>
              </w:rPr>
              <w:t>AND</w:t>
            </w:r>
          </w:p>
          <w:p w14:paraId="06466AE1" w14:textId="77777777" w:rsidR="00BD7647" w:rsidRDefault="00000000">
            <w:pPr>
              <w:pStyle w:val="TableParagraph"/>
              <w:ind w:left="500"/>
              <w:rPr>
                <w:b/>
              </w:rPr>
            </w:pPr>
            <w:r>
              <w:rPr>
                <w:b/>
                <w:spacing w:val="-2"/>
              </w:rPr>
              <w:t>STUDIES</w:t>
            </w:r>
          </w:p>
          <w:p w14:paraId="567EF8FA" w14:textId="77777777" w:rsidR="00BD7647" w:rsidRDefault="00BD7647">
            <w:pPr>
              <w:pStyle w:val="TableParagraph"/>
              <w:spacing w:before="16"/>
              <w:ind w:right="0"/>
              <w:jc w:val="left"/>
              <w:rPr>
                <w:rFonts w:ascii="Times New Roman"/>
              </w:rPr>
            </w:pPr>
          </w:p>
          <w:p w14:paraId="60227459" w14:textId="77777777" w:rsidR="00BD7647" w:rsidRDefault="00000000">
            <w:pPr>
              <w:pStyle w:val="TableParagraph"/>
              <w:ind w:left="537"/>
              <w:rPr>
                <w:b/>
              </w:rPr>
            </w:pPr>
            <w:r>
              <w:rPr>
                <w:b/>
              </w:rPr>
              <w:t>E</w:t>
            </w:r>
            <w:r>
              <w:rPr>
                <w:b/>
                <w:spacing w:val="-7"/>
              </w:rPr>
              <w:t xml:space="preserve"> </w:t>
            </w:r>
            <w:r>
              <w:rPr>
                <w:b/>
              </w:rPr>
              <w:t>ISSN:</w:t>
            </w:r>
            <w:r>
              <w:rPr>
                <w:b/>
                <w:spacing w:val="-10"/>
              </w:rPr>
              <w:t xml:space="preserve"> </w:t>
            </w:r>
            <w:r>
              <w:rPr>
                <w:b/>
              </w:rPr>
              <w:t>2640</w:t>
            </w:r>
            <w:r>
              <w:rPr>
                <w:b/>
                <w:spacing w:val="-4"/>
              </w:rPr>
              <w:t xml:space="preserve"> </w:t>
            </w:r>
            <w:r>
              <w:rPr>
                <w:b/>
              </w:rPr>
              <w:t>-</w:t>
            </w:r>
            <w:r>
              <w:rPr>
                <w:b/>
                <w:spacing w:val="-4"/>
              </w:rPr>
              <w:t>7272</w:t>
            </w:r>
          </w:p>
          <w:p w14:paraId="24D658E5" w14:textId="7E08645D" w:rsidR="00BD7647" w:rsidRDefault="00000000">
            <w:pPr>
              <w:pStyle w:val="TableParagraph"/>
              <w:spacing w:before="1"/>
              <w:ind w:left="530"/>
              <w:rPr>
                <w:b/>
              </w:rPr>
            </w:pPr>
            <w:r>
              <w:rPr>
                <w:b/>
                <w:spacing w:val="-2"/>
              </w:rPr>
              <w:t>Volume:08;</w:t>
            </w:r>
            <w:r>
              <w:rPr>
                <w:b/>
                <w:spacing w:val="-5"/>
              </w:rPr>
              <w:t xml:space="preserve"> </w:t>
            </w:r>
            <w:r>
              <w:rPr>
                <w:b/>
                <w:spacing w:val="-2"/>
              </w:rPr>
              <w:t>Issue:</w:t>
            </w:r>
            <w:r w:rsidR="00BA0326">
              <w:rPr>
                <w:b/>
                <w:spacing w:val="-2"/>
              </w:rPr>
              <w:t>11</w:t>
            </w:r>
            <w:r>
              <w:rPr>
                <w:b/>
                <w:spacing w:val="-3"/>
              </w:rPr>
              <w:t xml:space="preserve"> </w:t>
            </w:r>
            <w:r>
              <w:rPr>
                <w:b/>
                <w:spacing w:val="-2"/>
              </w:rPr>
              <w:t>(2025)</w:t>
            </w:r>
          </w:p>
        </w:tc>
        <w:tc>
          <w:tcPr>
            <w:tcW w:w="1191" w:type="dxa"/>
            <w:tcBorders>
              <w:top w:val="single" w:sz="2" w:space="0" w:color="000000"/>
              <w:bottom w:val="single" w:sz="36" w:space="0" w:color="000000"/>
            </w:tcBorders>
          </w:tcPr>
          <w:p w14:paraId="4E1D0582" w14:textId="77777777" w:rsidR="00BD7647" w:rsidRDefault="00000000">
            <w:pPr>
              <w:pStyle w:val="TableParagraph"/>
              <w:spacing w:line="268" w:lineRule="exact"/>
              <w:ind w:right="186"/>
              <w:rPr>
                <w:b/>
              </w:rPr>
            </w:pPr>
            <w:r>
              <w:rPr>
                <w:b/>
                <w:spacing w:val="-2"/>
              </w:rPr>
              <w:t>Page</w:t>
            </w:r>
            <w:r>
              <w:rPr>
                <w:b/>
                <w:spacing w:val="-7"/>
              </w:rPr>
              <w:t xml:space="preserve"> </w:t>
            </w:r>
            <w:r>
              <w:rPr>
                <w:b/>
                <w:spacing w:val="-5"/>
              </w:rPr>
              <w:t>no.</w:t>
            </w:r>
          </w:p>
          <w:p w14:paraId="4A692E88" w14:textId="2DB76231" w:rsidR="00BD7647" w:rsidRDefault="00000000">
            <w:pPr>
              <w:pStyle w:val="TableParagraph"/>
              <w:spacing w:before="38"/>
              <w:ind w:left="7" w:right="186"/>
              <w:rPr>
                <w:b/>
              </w:rPr>
            </w:pPr>
            <w:r>
              <w:rPr>
                <w:b/>
                <w:spacing w:val="-5"/>
              </w:rPr>
              <w:t>1-</w:t>
            </w:r>
            <w:r w:rsidR="00BA0326">
              <w:rPr>
                <w:b/>
                <w:spacing w:val="-10"/>
              </w:rPr>
              <w:t>7</w:t>
            </w:r>
          </w:p>
        </w:tc>
      </w:tr>
    </w:tbl>
    <w:p w14:paraId="4C41BADE" w14:textId="77777777" w:rsidR="00BD7647" w:rsidRDefault="00BD7647">
      <w:pPr>
        <w:pStyle w:val="BodyText"/>
        <w:spacing w:before="78"/>
        <w:ind w:left="0"/>
        <w:jc w:val="left"/>
      </w:pPr>
    </w:p>
    <w:p w14:paraId="7E1C4A45" w14:textId="04AB5430" w:rsidR="00BD7647" w:rsidRDefault="00B01581" w:rsidP="00B01581">
      <w:pPr>
        <w:pStyle w:val="Heading1"/>
        <w:spacing w:line="273" w:lineRule="auto"/>
        <w:ind w:right="6"/>
        <w:jc w:val="center"/>
        <w:rPr>
          <w:lang w:val="en-IN"/>
        </w:rPr>
      </w:pPr>
      <w:bookmarkStart w:id="0" w:name="_dx_frag_StartFragment"/>
      <w:bookmarkEnd w:id="0"/>
      <w:r w:rsidRPr="00B01581">
        <w:rPr>
          <w:lang w:val="en-IN"/>
        </w:rPr>
        <w:t>Bowel Urgency in Inflammatory Bowel Disease: A Critical Review of Patient-Reported Outcomes and Clinical Significance</w:t>
      </w:r>
    </w:p>
    <w:p w14:paraId="36A2C383" w14:textId="77777777" w:rsidR="00B01581" w:rsidRPr="00B01581" w:rsidRDefault="00B01581" w:rsidP="00B01581">
      <w:pPr>
        <w:pStyle w:val="Heading1"/>
        <w:spacing w:line="273" w:lineRule="auto"/>
        <w:ind w:right="6"/>
        <w:jc w:val="center"/>
        <w:rPr>
          <w:lang w:val="en-IN"/>
        </w:rPr>
      </w:pPr>
    </w:p>
    <w:p w14:paraId="1E5A372C" w14:textId="0D07F0BE" w:rsidR="00BD7647" w:rsidRPr="00DE61DF" w:rsidRDefault="00B01581" w:rsidP="00DE61DF">
      <w:pPr>
        <w:spacing w:after="120"/>
        <w:ind w:left="6" w:right="6"/>
        <w:jc w:val="center"/>
        <w:rPr>
          <w:b/>
          <w:sz w:val="20"/>
        </w:rPr>
      </w:pPr>
      <w:r>
        <w:rPr>
          <w:b/>
          <w:sz w:val="20"/>
          <w:lang w:val="en-IN"/>
        </w:rPr>
        <w:t>D</w:t>
      </w:r>
      <w:r w:rsidRPr="00B01581">
        <w:rPr>
          <w:b/>
          <w:sz w:val="20"/>
          <w:lang w:val="en-IN"/>
        </w:rPr>
        <w:t>r. Alistair R. Thorne</w:t>
      </w:r>
    </w:p>
    <w:p w14:paraId="55B4404D" w14:textId="1D334398" w:rsidR="00DE61DF" w:rsidRPr="00DE61DF" w:rsidRDefault="00B01581" w:rsidP="00B01581">
      <w:pPr>
        <w:spacing w:before="34"/>
        <w:ind w:left="4" w:right="6"/>
        <w:jc w:val="center"/>
        <w:rPr>
          <w:sz w:val="20"/>
        </w:rPr>
      </w:pPr>
      <w:r w:rsidRPr="00B01581">
        <w:rPr>
          <w:sz w:val="20"/>
          <w:lang w:val="en-IN"/>
        </w:rPr>
        <w:t>Department of Gastroenterology, Cambridge Institute for Clinical Research, Cambridge, United Kingdom</w:t>
      </w:r>
    </w:p>
    <w:p w14:paraId="6C7AE629" w14:textId="77777777" w:rsidR="00BD7647" w:rsidRDefault="00000000">
      <w:pPr>
        <w:pStyle w:val="BodyText"/>
        <w:spacing w:before="0"/>
        <w:ind w:left="0"/>
        <w:jc w:val="left"/>
        <w:rPr>
          <w:sz w:val="13"/>
        </w:rPr>
      </w:pPr>
      <w:r>
        <w:rPr>
          <w:noProof/>
          <w:sz w:val="13"/>
        </w:rPr>
        <mc:AlternateContent>
          <mc:Choice Requires="wps">
            <w:drawing>
              <wp:anchor distT="0" distB="0" distL="0" distR="0" simplePos="0" relativeHeight="487587840" behindDoc="1" locked="0" layoutInCell="1" allowOverlap="1" wp14:anchorId="034C56D0" wp14:editId="22AB16F9">
                <wp:simplePos x="0" y="0"/>
                <wp:positionH relativeFrom="page">
                  <wp:posOffset>895350</wp:posOffset>
                </wp:positionH>
                <wp:positionV relativeFrom="paragraph">
                  <wp:posOffset>110776</wp:posOffset>
                </wp:positionV>
                <wp:extent cx="57708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3750C" id="Graphic 4" o:spid="_x0000_s1026" style="position:absolute;margin-left:70.5pt;margin-top:8.7pt;width:454.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" path="m5770626,l,,,6096r5770626,l5770626,xe" fillcolor="black" stroked="f">
                <v:path arrowok="t"/>
                <w10:wrap type="topAndBottom" anchorx="page"/>
              </v:shape>
            </w:pict>
          </mc:Fallback>
        </mc:AlternateContent>
      </w:r>
    </w:p>
    <w:p w14:paraId="41DC94E7" w14:textId="77777777" w:rsidR="00BD7647" w:rsidRDefault="00000000">
      <w:pPr>
        <w:pStyle w:val="Heading1"/>
        <w:spacing w:before="110"/>
      </w:pPr>
      <w:r>
        <w:rPr>
          <w:spacing w:val="-2"/>
        </w:rPr>
        <w:t>ABSTRACT</w:t>
      </w:r>
    </w:p>
    <w:p w14:paraId="29C9026E" w14:textId="4A334067" w:rsidR="00B01581" w:rsidRPr="00B01581" w:rsidRDefault="00B01581" w:rsidP="00B01581">
      <w:pPr>
        <w:pStyle w:val="BodyText"/>
        <w:spacing w:before="65" w:line="276" w:lineRule="auto"/>
        <w:ind w:left="165" w:right="161"/>
        <w:rPr>
          <w:lang w:val="en-IN"/>
        </w:rPr>
      </w:pPr>
      <w:r w:rsidRPr="00B01581">
        <w:rPr>
          <w:b/>
          <w:lang w:val="en-IN"/>
        </w:rPr>
        <w:t>Background:</w:t>
      </w:r>
      <w:r w:rsidRPr="00B01581">
        <w:rPr>
          <w:lang w:val="en-IN"/>
        </w:rPr>
        <w:t xml:space="preserve"> Bowel urgency, defined as the sudden and immediate need to defecate, is a highly distressing symptom of inflammatory bowel disease (IBD), particularly in patients with ulcerative colitis (UC). Despite its profound impact on daily functioning and quality of life, this symptom remains underrecognized and undertreated in routine clinical practice. This review aims to highlight the clinical significance of bowel urgency, its role as a crucial patient-reported outcome (PRO), and its response to novel therapeutic interventions.</w:t>
      </w:r>
    </w:p>
    <w:p w14:paraId="1F6F04DD" w14:textId="77777777" w:rsidR="00B01581" w:rsidRPr="00B01581" w:rsidRDefault="00B01581" w:rsidP="00B01581">
      <w:pPr>
        <w:pStyle w:val="BodyText"/>
        <w:spacing w:before="65" w:line="276" w:lineRule="auto"/>
        <w:ind w:left="165" w:right="161"/>
        <w:rPr>
          <w:lang w:val="en-IN"/>
        </w:rPr>
      </w:pPr>
      <w:r w:rsidRPr="00B01581">
        <w:rPr>
          <w:b/>
          <w:lang w:val="en-IN"/>
        </w:rPr>
        <w:t>Methods:</w:t>
      </w:r>
      <w:r w:rsidRPr="00B01581">
        <w:rPr>
          <w:lang w:val="en-IN"/>
        </w:rPr>
        <w:t xml:space="preserve"> This is a focused narrative review of existing literature, including clinical trials, consensus statements, and patient-</w:t>
      </w:r>
      <w:proofErr w:type="spellStart"/>
      <w:r w:rsidRPr="00B01581">
        <w:rPr>
          <w:lang w:val="en-IN"/>
        </w:rPr>
        <w:t>centered</w:t>
      </w:r>
      <w:proofErr w:type="spellEnd"/>
      <w:r w:rsidRPr="00B01581">
        <w:rPr>
          <w:lang w:val="en-IN"/>
        </w:rPr>
        <w:t xml:space="preserve"> studies, that addresses the prevalence, impact, and therapeutic management of bowel urgency in IBD.</w:t>
      </w:r>
    </w:p>
    <w:p w14:paraId="011A5008" w14:textId="77777777" w:rsidR="00B01581" w:rsidRPr="00B01581" w:rsidRDefault="00B01581" w:rsidP="00B01581">
      <w:pPr>
        <w:pStyle w:val="BodyText"/>
        <w:spacing w:before="65" w:line="276" w:lineRule="auto"/>
        <w:ind w:left="165" w:right="161"/>
        <w:rPr>
          <w:lang w:val="en-IN"/>
        </w:rPr>
      </w:pPr>
      <w:r w:rsidRPr="00B01581">
        <w:rPr>
          <w:b/>
          <w:lang w:val="en-IN"/>
        </w:rPr>
        <w:t>Results:</w:t>
      </w:r>
      <w:r w:rsidRPr="00B01581">
        <w:rPr>
          <w:lang w:val="en-IN"/>
        </w:rPr>
        <w:t xml:space="preserve"> Bowel urgency is a prevalent symptom, with over 80% of IBD patients reporting it, and 35-40% continuing to experience it even in clinical remission [3, 9, 14]. Its impact extends beyond physical discomfort, leading to significant emotional distress, including fear, embarrassment, and social withdrawal [9]. The CONFIDE study, for example, revealed that up to 45% of UC patients weekly use pads or diapers to manage this symptom [9]. The absence of bowel urgency is strongly correlated with better clinical and endoscopic outcomes, positioning it as a key indicator of disease control and a valid therapeutic target [14]. Emerging therapies such as </w:t>
      </w:r>
      <w:proofErr w:type="spellStart"/>
      <w:r w:rsidRPr="00B01581">
        <w:rPr>
          <w:lang w:val="en-IN"/>
        </w:rPr>
        <w:t>mirikizumab</w:t>
      </w:r>
      <w:proofErr w:type="spellEnd"/>
      <w:r w:rsidRPr="00B01581">
        <w:rPr>
          <w:lang w:val="en-IN"/>
        </w:rPr>
        <w:t xml:space="preserve">, upadacitinib, and </w:t>
      </w:r>
      <w:proofErr w:type="spellStart"/>
      <w:r w:rsidRPr="00B01581">
        <w:rPr>
          <w:lang w:val="en-IN"/>
        </w:rPr>
        <w:t>risankizumab</w:t>
      </w:r>
      <w:proofErr w:type="spellEnd"/>
      <w:r w:rsidRPr="00B01581">
        <w:rPr>
          <w:lang w:val="en-IN"/>
        </w:rPr>
        <w:t xml:space="preserve"> have demonstrated meaningful improvement in bowel urgency, reinforcing its value as a relevant endpoint in clinical trials [12, 13, 14, 15, 16].</w:t>
      </w:r>
    </w:p>
    <w:p w14:paraId="46492BDF" w14:textId="697CE9CB" w:rsidR="00BD7647" w:rsidRDefault="00B01581" w:rsidP="00B01581">
      <w:pPr>
        <w:pStyle w:val="BodyText"/>
        <w:spacing w:before="65" w:line="276" w:lineRule="auto"/>
        <w:ind w:left="165" w:right="161"/>
      </w:pPr>
      <w:r w:rsidRPr="00B01581">
        <w:rPr>
          <w:b/>
          <w:lang w:val="en-IN"/>
        </w:rPr>
        <w:t>Conclusion:</w:t>
      </w:r>
      <w:r w:rsidRPr="00B01581">
        <w:rPr>
          <w:lang w:val="en-IN"/>
        </w:rPr>
        <w:t xml:space="preserve"> Bowel urgency is a central and debilitating symptom for many IBD patients that is often not adequately assessed. A paradigm shift is needed in clinical practice to prioritize the use of validated PRO tools to better capture and address this symptom. Improving patient-clinician communication and integrating bowel urgency into treatment goals is essential for achieving more comprehensive disease management and improving patient outcomes</w:t>
      </w:r>
    </w:p>
    <w:p w14:paraId="0024EE92" w14:textId="77777777" w:rsidR="00BD7647" w:rsidRDefault="00BD7647">
      <w:pPr>
        <w:pStyle w:val="BodyText"/>
        <w:spacing w:before="25"/>
        <w:ind w:left="0"/>
        <w:jc w:val="left"/>
      </w:pPr>
    </w:p>
    <w:p w14:paraId="23E10160" w14:textId="306E4E51" w:rsidR="00BD7647" w:rsidRDefault="00000000">
      <w:pPr>
        <w:pStyle w:val="BodyText"/>
        <w:spacing w:before="0" w:line="276" w:lineRule="auto"/>
        <w:ind w:left="165" w:right="163"/>
      </w:pPr>
      <w:r>
        <w:rPr>
          <w:b/>
        </w:rPr>
        <w:t xml:space="preserve">Keywords: </w:t>
      </w:r>
      <w:r w:rsidR="00B01581" w:rsidRPr="00B01581">
        <w:rPr>
          <w:lang w:val="en-IN"/>
        </w:rPr>
        <w:t xml:space="preserve">Inflammatory Bowel Disease; Ulcerative Colitis; Bowel Urgency; Patient-Reported Outcomes; </w:t>
      </w:r>
      <w:proofErr w:type="spellStart"/>
      <w:r w:rsidR="00B01581" w:rsidRPr="00B01581">
        <w:rPr>
          <w:lang w:val="en-IN"/>
        </w:rPr>
        <w:t>Mirikizumab</w:t>
      </w:r>
      <w:proofErr w:type="spellEnd"/>
      <w:r w:rsidR="00B01581" w:rsidRPr="00B01581">
        <w:rPr>
          <w:lang w:val="en-IN"/>
        </w:rPr>
        <w:t>; Risankizumab; Upadacitinib</w:t>
      </w:r>
    </w:p>
    <w:p w14:paraId="09FE8B68" w14:textId="77777777" w:rsidR="00BD7647" w:rsidRDefault="00000000">
      <w:pPr>
        <w:pStyle w:val="BodyText"/>
        <w:spacing w:before="3"/>
        <w:ind w:left="0"/>
        <w:jc w:val="left"/>
        <w:rPr>
          <w:sz w:val="19"/>
        </w:rPr>
      </w:pPr>
      <w:r>
        <w:rPr>
          <w:noProof/>
          <w:sz w:val="19"/>
        </w:rPr>
        <mc:AlternateContent>
          <mc:Choice Requires="wps">
            <w:drawing>
              <wp:anchor distT="0" distB="0" distL="0" distR="0" simplePos="0" relativeHeight="487588352" behindDoc="1" locked="0" layoutInCell="1" allowOverlap="1" wp14:anchorId="189D04C9" wp14:editId="5ACD5195">
                <wp:simplePos x="0" y="0"/>
                <wp:positionH relativeFrom="page">
                  <wp:posOffset>922019</wp:posOffset>
                </wp:positionH>
                <wp:positionV relativeFrom="paragraph">
                  <wp:posOffset>156496</wp:posOffset>
                </wp:positionV>
                <wp:extent cx="578485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12700"/>
                        </a:xfrm>
                        <a:custGeom>
                          <a:avLst/>
                          <a:gdLst/>
                          <a:ahLst/>
                          <a:cxnLst/>
                          <a:rect l="l" t="t" r="r" b="b"/>
                          <a:pathLst>
                            <a:path w="5784850" h="12700">
                              <a:moveTo>
                                <a:pt x="0" y="12699"/>
                              </a:moveTo>
                              <a:lnTo>
                                <a:pt x="57848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452B3" id="Graphic 5" o:spid="_x0000_s1026" style="position:absolute;margin-left:72.6pt;margin-top:12.3pt;width:4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84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" path="m,12699l5784850,e" filled="f">
                <v:path arrowok="t"/>
                <w10:wrap type="topAndBottom" anchorx="page"/>
              </v:shape>
            </w:pict>
          </mc:Fallback>
        </mc:AlternateContent>
      </w:r>
    </w:p>
    <w:p w14:paraId="0536DA3E" w14:textId="77777777" w:rsidR="00BD7647" w:rsidRDefault="00BD7647">
      <w:pPr>
        <w:pStyle w:val="BodyText"/>
        <w:spacing w:before="106"/>
        <w:ind w:left="0"/>
        <w:jc w:val="left"/>
      </w:pPr>
    </w:p>
    <w:p w14:paraId="245F3E9D" w14:textId="77777777" w:rsidR="00BD7647" w:rsidRDefault="00000000">
      <w:pPr>
        <w:pStyle w:val="Heading1"/>
      </w:pPr>
      <w:r>
        <w:rPr>
          <w:spacing w:val="-2"/>
        </w:rPr>
        <w:t>INTRODUCTION</w:t>
      </w:r>
    </w:p>
    <w:p w14:paraId="4D9A2627" w14:textId="58E41F02" w:rsidR="00B01581" w:rsidRPr="00B01581" w:rsidRDefault="00B01581" w:rsidP="00B01581">
      <w:pPr>
        <w:pStyle w:val="BodyText"/>
        <w:ind w:left="165"/>
        <w:rPr>
          <w:lang w:val="en-IN"/>
        </w:rPr>
      </w:pPr>
      <w:r w:rsidRPr="00B01581">
        <w:rPr>
          <w:lang w:val="en-IN"/>
        </w:rPr>
        <w:t xml:space="preserve">Inflammatory bowel disease (IBD), encompassing Crohn's disease (CD) and ulcerative colitis (UC), represents a chronic, relapsing-remitting inflammatory condition of the gastrointestinal tract. Historically, the management of IBD has focused on a series of well-established clinical and biological markers, including the frequency of bowel movements, the presence of rectal </w:t>
      </w:r>
      <w:r w:rsidRPr="00B01581">
        <w:rPr>
          <w:lang w:val="en-IN"/>
        </w:rPr>
        <w:lastRenderedPageBreak/>
        <w:t xml:space="preserve">bleeding, and objective measures of inflammation such as C-reactive protein (CRP), </w:t>
      </w:r>
      <w:proofErr w:type="spellStart"/>
      <w:r w:rsidRPr="00B01581">
        <w:rPr>
          <w:lang w:val="en-IN"/>
        </w:rPr>
        <w:t>fecal</w:t>
      </w:r>
      <w:proofErr w:type="spellEnd"/>
      <w:r w:rsidRPr="00B01581">
        <w:rPr>
          <w:lang w:val="en-IN"/>
        </w:rPr>
        <w:t xml:space="preserve"> calprotectin, and endoscopic appearance [1]. While these metrics are undeniably important for assessing disease activity and guiding treatment decisions, they often fail to capture the full spectrum of a patient’s lived experience. The most distressing symptoms are frequently those that are not easily quantified or observed, and which may persist even when conventional markers suggest a state of remission.</w:t>
      </w:r>
    </w:p>
    <w:p w14:paraId="2DB69763" w14:textId="77777777" w:rsidR="00B01581" w:rsidRPr="00B01581" w:rsidRDefault="00B01581" w:rsidP="00B01581">
      <w:pPr>
        <w:pStyle w:val="BodyText"/>
        <w:spacing w:before="209" w:line="276" w:lineRule="auto"/>
        <w:ind w:left="165" w:right="166"/>
        <w:rPr>
          <w:lang w:val="en-IN"/>
        </w:rPr>
      </w:pPr>
      <w:r w:rsidRPr="00B01581">
        <w:rPr>
          <w:lang w:val="en-IN"/>
        </w:rPr>
        <w:t xml:space="preserve">Among these invisible symptoms, </w:t>
      </w:r>
      <w:r w:rsidRPr="00B01581">
        <w:rPr>
          <w:b/>
          <w:lang w:val="en-IN"/>
        </w:rPr>
        <w:t>bowel urgency</w:t>
      </w:r>
      <w:r w:rsidRPr="00B01581">
        <w:rPr>
          <w:lang w:val="en-IN"/>
        </w:rPr>
        <w:t xml:space="preserve">—defined as the sudden, overwhelming, and immediate need to defecate—stands out as one of the most debilitating and disruptive aspects of IBD [3]. The unpredictable nature of this symptom can hijack a patient's life, creating a constant state of hypervigilance and anxiety. For many, the fear of an accident in public places leads to social withdrawal, the avoidance of travel, and significant professional limitations, fundamentally altering their sense of freedom and independence [9, 10]. This profound </w:t>
      </w:r>
      <w:proofErr w:type="gramStart"/>
      <w:r w:rsidRPr="00B01581">
        <w:rPr>
          <w:lang w:val="en-IN"/>
        </w:rPr>
        <w:t>disconnect</w:t>
      </w:r>
      <w:proofErr w:type="gramEnd"/>
      <w:r w:rsidRPr="00B01581">
        <w:rPr>
          <w:lang w:val="en-IN"/>
        </w:rPr>
        <w:t xml:space="preserve"> between the patient's subjective reality and the clinician's objective assessment of disease has been a long-standing challenge in IBD care. A patient may be told they are in remission based on an endoscopic report, yet they continue to struggle daily with an uncontrollable urgency that makes it impossible to work a full day or attend a social event with confidence [6]. This gap underscores the critical need for a paradigm shift in how we define and measure treatment success—moving beyond purely objective, disease-centric outcomes towards a more holistic, patient-</w:t>
      </w:r>
      <w:proofErr w:type="spellStart"/>
      <w:r w:rsidRPr="00B01581">
        <w:rPr>
          <w:lang w:val="en-IN"/>
        </w:rPr>
        <w:t>centered</w:t>
      </w:r>
      <w:proofErr w:type="spellEnd"/>
      <w:r w:rsidRPr="00B01581">
        <w:rPr>
          <w:lang w:val="en-IN"/>
        </w:rPr>
        <w:t xml:space="preserve"> approach [7].</w:t>
      </w:r>
    </w:p>
    <w:p w14:paraId="67EF9654" w14:textId="4451F99C" w:rsidR="00B01581" w:rsidRPr="00B01581" w:rsidRDefault="00B01581" w:rsidP="00B01581">
      <w:pPr>
        <w:pStyle w:val="BodyText"/>
        <w:spacing w:before="209" w:line="276" w:lineRule="auto"/>
        <w:ind w:left="165" w:right="166"/>
        <w:rPr>
          <w:lang w:val="en-IN"/>
        </w:rPr>
      </w:pPr>
      <w:r w:rsidRPr="00B01581">
        <w:rPr>
          <w:lang w:val="en-IN"/>
        </w:rPr>
        <w:t xml:space="preserve">The objective of this comprehensive academic review is to critically examine the clinical significance of bowel urgency in IBD from multiple perspectives. We aim to first establish the pervasive burden of this symptom, using both quantitative and qualitative data to illustrate its impact on a patient’s physical, psychological, and social well-being. We will then argue for its importance as a crucial </w:t>
      </w:r>
      <w:r w:rsidRPr="00B01581">
        <w:rPr>
          <w:b/>
          <w:lang w:val="en-IN"/>
        </w:rPr>
        <w:t>patient-reported outcome (PRO)</w:t>
      </w:r>
      <w:r w:rsidRPr="00B01581">
        <w:rPr>
          <w:lang w:val="en-IN"/>
        </w:rPr>
        <w:t>, essential for truly understanding and managing the disease. Finally, we will review the compelling data from recent clinical trials that demonstrates the efficacy of a new generation of therapeutic agents in addressing and resolving this specific symptom, thereby validating its potential as a measurable and meaningful treatment target. By synthesizing these diverse lines of evidence, we hope to advocate for a future of IBD management that not only controls inflammation but also restores a patient’s life by eliminating the tyranny of bowel urgency.</w:t>
      </w:r>
    </w:p>
    <w:p w14:paraId="251A1976" w14:textId="55ABB464" w:rsidR="00B01581" w:rsidRPr="00B01581" w:rsidRDefault="00B01581" w:rsidP="00B01581">
      <w:pPr>
        <w:pStyle w:val="BodyText"/>
        <w:spacing w:before="209" w:line="276" w:lineRule="auto"/>
        <w:ind w:left="165" w:right="166"/>
        <w:rPr>
          <w:b/>
          <w:lang w:val="en-IN"/>
        </w:rPr>
      </w:pPr>
      <w:r w:rsidRPr="00B01581">
        <w:rPr>
          <w:b/>
          <w:lang w:val="en-IN"/>
        </w:rPr>
        <w:t>Methods</w:t>
      </w:r>
    </w:p>
    <w:p w14:paraId="754F79BD" w14:textId="77777777" w:rsidR="00B01581" w:rsidRPr="00B01581" w:rsidRDefault="00B01581" w:rsidP="00B01581">
      <w:pPr>
        <w:pStyle w:val="BodyText"/>
        <w:spacing w:before="209" w:line="276" w:lineRule="auto"/>
        <w:ind w:left="165" w:right="166"/>
        <w:rPr>
          <w:lang w:val="en-IN"/>
        </w:rPr>
      </w:pPr>
      <w:r w:rsidRPr="00B01581">
        <w:rPr>
          <w:lang w:val="en-IN"/>
        </w:rPr>
        <w:t>This paper is a focused narrative review designed to provide a comprehensive and evidence-based synthesis of the role of bowel urgency in IBD. The methodology employed for this review was a targeted search of existing literature, with a specific focus on studies, clinical trial data, and academic perspectives that address three key areas: the prevalence and impact of bowel urgency, its evolving role as a patient-reported outcome (PRO) in IBD, and its response to novel therapeutic interventions.</w:t>
      </w:r>
    </w:p>
    <w:p w14:paraId="04FE3882" w14:textId="77777777" w:rsidR="00B01581" w:rsidRPr="00B01581" w:rsidRDefault="00B01581" w:rsidP="00B01581">
      <w:pPr>
        <w:pStyle w:val="BodyText"/>
        <w:spacing w:before="209" w:line="276" w:lineRule="auto"/>
        <w:ind w:left="165" w:right="166"/>
        <w:rPr>
          <w:lang w:val="en-IN"/>
        </w:rPr>
      </w:pPr>
      <w:r w:rsidRPr="00B01581">
        <w:rPr>
          <w:lang w:val="en-IN"/>
        </w:rPr>
        <w:t>The primary sources for this review were the sixteen references provided, which represent a carefully curated selection of key publications in the field of gastroenterology. These sources include a range of high-impact research, from seminal consensus statements on PRO development [5, 7] and real-world studies on patient-clinician disconnect [6, 9] to the latest data from large-scale, multi-</w:t>
      </w:r>
      <w:proofErr w:type="spellStart"/>
      <w:r w:rsidRPr="00B01581">
        <w:rPr>
          <w:lang w:val="en-IN"/>
        </w:rPr>
        <w:t>center</w:t>
      </w:r>
      <w:proofErr w:type="spellEnd"/>
      <w:r w:rsidRPr="00B01581">
        <w:rPr>
          <w:lang w:val="en-IN"/>
        </w:rPr>
        <w:t xml:space="preserve"> clinical trials [12, 14, 15, 16]. This selection was chosen to ensure a balanced and robust review that integrates the perspectives of clinicians, researchers, and patients themselves. By drawing exclusively from this predefined list of sources, the review maintains a tight focus and adheres strictly to the established citation parameters, ensuring that the conclusions are directly and solely supported by the provided evidence.</w:t>
      </w:r>
    </w:p>
    <w:p w14:paraId="1D0F168D" w14:textId="2F39C0F1" w:rsidR="00B01581" w:rsidRPr="00B01581" w:rsidRDefault="00B01581" w:rsidP="00B01581">
      <w:pPr>
        <w:pStyle w:val="BodyText"/>
        <w:spacing w:before="209" w:line="276" w:lineRule="auto"/>
        <w:ind w:left="165" w:right="166"/>
        <w:rPr>
          <w:lang w:val="en-IN"/>
        </w:rPr>
      </w:pPr>
      <w:r w:rsidRPr="00B01581">
        <w:rPr>
          <w:lang w:val="en-IN"/>
        </w:rPr>
        <w:lastRenderedPageBreak/>
        <w:t xml:space="preserve">The review is structured in an </w:t>
      </w:r>
      <w:proofErr w:type="spellStart"/>
      <w:r w:rsidRPr="00B01581">
        <w:rPr>
          <w:lang w:val="en-IN"/>
        </w:rPr>
        <w:t>IMRaD</w:t>
      </w:r>
      <w:proofErr w:type="spellEnd"/>
      <w:r w:rsidRPr="00B01581">
        <w:rPr>
          <w:lang w:val="en-IN"/>
        </w:rPr>
        <w:t xml:space="preserve"> (Introduction, Methods, Results, and Discussion) format to provide a clear and logical flow of information. The "Results and Discussion" section is further divided into three thematic subsections to facilitate a detailed exploration of each key aspect of bowel urgency. This structure allows the paper to first establish the problem, then present and discuss the supporting evidence, and finally conclude with a synthesis of the findings and a call for future action. The approach is qualitative in nature, synthesizing existing data and arguments to build a cohesive case for the greater recognition and management of bowel urgency as a central component of high-quality IBD care.</w:t>
      </w:r>
    </w:p>
    <w:p w14:paraId="421EE385" w14:textId="75789D5C" w:rsidR="00B01581" w:rsidRPr="00B01581" w:rsidRDefault="00B01581" w:rsidP="00B01581">
      <w:pPr>
        <w:pStyle w:val="BodyText"/>
        <w:spacing w:before="209" w:line="276" w:lineRule="auto"/>
        <w:ind w:left="165" w:right="166"/>
        <w:rPr>
          <w:b/>
          <w:lang w:val="en-IN"/>
        </w:rPr>
      </w:pPr>
      <w:r w:rsidRPr="00B01581">
        <w:rPr>
          <w:b/>
          <w:lang w:val="en-IN"/>
        </w:rPr>
        <w:t>Results &amp; Discussion</w:t>
      </w:r>
    </w:p>
    <w:p w14:paraId="69154C9B" w14:textId="69E446AF" w:rsidR="00B01581" w:rsidRPr="00B01581" w:rsidRDefault="00B01581" w:rsidP="00B01581">
      <w:pPr>
        <w:pStyle w:val="BodyText"/>
        <w:spacing w:before="209" w:line="276" w:lineRule="auto"/>
        <w:ind w:left="165" w:right="166"/>
        <w:rPr>
          <w:b/>
          <w:lang w:val="en-IN"/>
        </w:rPr>
      </w:pPr>
      <w:r w:rsidRPr="00B01581">
        <w:rPr>
          <w:b/>
          <w:lang w:val="en-IN"/>
        </w:rPr>
        <w:t>The Burden of Bowel Urgency in IBD</w:t>
      </w:r>
    </w:p>
    <w:p w14:paraId="7128C3B4" w14:textId="77777777" w:rsidR="00B01581" w:rsidRPr="00B01581" w:rsidRDefault="00B01581" w:rsidP="00B01581">
      <w:pPr>
        <w:pStyle w:val="BodyText"/>
        <w:spacing w:before="209" w:line="276" w:lineRule="auto"/>
        <w:ind w:left="165" w:right="166"/>
        <w:rPr>
          <w:lang w:val="en-IN"/>
        </w:rPr>
      </w:pPr>
      <w:r w:rsidRPr="00B01581">
        <w:rPr>
          <w:lang w:val="en-IN"/>
        </w:rPr>
        <w:t xml:space="preserve">Bowel urgency is not merely a transient inconvenience; it is a pervasive and profoundly distressing symptom that affects the majority of individuals living with IBD. Its high prevalence is a defining characteristic of the disease. Recent studies consistently report that </w:t>
      </w:r>
      <w:r w:rsidRPr="00B01581">
        <w:rPr>
          <w:b/>
          <w:lang w:val="en-IN"/>
        </w:rPr>
        <w:t>over 80% of IBD patients experience bowel urgency</w:t>
      </w:r>
      <w:r w:rsidRPr="00B01581">
        <w:rPr>
          <w:lang w:val="en-IN"/>
        </w:rPr>
        <w:t xml:space="preserve">, underscoring its widespread nature within the disease population [3, 9]. This statistic alone is a powerful indictment of the historical neglect of this symptom in clinical practice. The data becomes even more compelling when considering its persistence. A significant proportion of patients, between </w:t>
      </w:r>
      <w:r w:rsidRPr="00B01581">
        <w:rPr>
          <w:b/>
          <w:lang w:val="en-IN"/>
        </w:rPr>
        <w:t>35–40%, continue to struggle with bowel urgency even when their disease is clinically quiescent</w:t>
      </w:r>
      <w:r w:rsidRPr="00B01581">
        <w:rPr>
          <w:lang w:val="en-IN"/>
        </w:rPr>
        <w:t>, as defined by traditional measures like laboratory markers and endoscopic appearance [3, 9, 14]. This finding highlights a critical and often overlooked truth: a patient can be in clinical remission yet be suffering from a symptom that fundamentally compromises their quality of life.</w:t>
      </w:r>
    </w:p>
    <w:p w14:paraId="50F6DE3F" w14:textId="53F144AB" w:rsidR="00B01581" w:rsidRPr="00B01581" w:rsidRDefault="00B01581" w:rsidP="00B01581">
      <w:pPr>
        <w:pStyle w:val="BodyText"/>
        <w:spacing w:before="209" w:line="276" w:lineRule="auto"/>
        <w:ind w:left="165" w:right="166"/>
        <w:rPr>
          <w:lang w:val="en-IN"/>
        </w:rPr>
      </w:pPr>
      <w:r w:rsidRPr="00B01581">
        <w:rPr>
          <w:lang w:val="en-IN"/>
        </w:rPr>
        <w:t xml:space="preserve">The psychological and social ramifications of bowel urgency are extensive and complex. The constant and unpredictable need to locate a restroom creates a pervasive state of anxiety and fear. This fear is not irrational; it stems from the very real possibility of an accident, an event that can lead to profound </w:t>
      </w:r>
      <w:r w:rsidRPr="00B01581">
        <w:rPr>
          <w:b/>
          <w:lang w:val="en-IN"/>
        </w:rPr>
        <w:t>embarrassment and shame</w:t>
      </w:r>
      <w:r w:rsidRPr="00B01581">
        <w:rPr>
          <w:lang w:val="en-IN"/>
        </w:rPr>
        <w:t xml:space="preserve"> [9]. This fear often translates into </w:t>
      </w:r>
      <w:proofErr w:type="spellStart"/>
      <w:r w:rsidRPr="00B01581">
        <w:rPr>
          <w:lang w:val="en-IN"/>
        </w:rPr>
        <w:t>behavioral</w:t>
      </w:r>
      <w:proofErr w:type="spellEnd"/>
      <w:r w:rsidRPr="00B01581">
        <w:rPr>
          <w:lang w:val="en-IN"/>
        </w:rPr>
        <w:t xml:space="preserve"> changes, including the avoidance of social gatherings, professional meetings, and public transportation. The CONFIDE study provides a stark and compelling illustration of this burden, revealing that up to </w:t>
      </w:r>
      <w:r w:rsidRPr="00B01581">
        <w:rPr>
          <w:b/>
          <w:lang w:val="en-IN"/>
        </w:rPr>
        <w:t>45% of patients with ulcerative colitis resort to using pads or diapers weekly to manage the symptom and prevent accidents</w:t>
      </w:r>
      <w:r w:rsidRPr="00B01581">
        <w:rPr>
          <w:lang w:val="en-IN"/>
        </w:rPr>
        <w:t xml:space="preserve"> [9]. This level of dependence on protective measures is not just a sign of physical distress but a clear indicator of the deep sense of vulnerability and loss of control that urgency imposes. The symptom is so impactful that it has been shown to more significantly impair sexual quality of life than even the frequency of bowel movements themselves [10]. The feeling of a lack of control over one's own body is corrosive to self-confidence and can lead to significant social isolation, as patients may choose to withdraw from their support networks rather than risk the public humiliation of an accident [9].</w:t>
      </w:r>
    </w:p>
    <w:p w14:paraId="396D64EC" w14:textId="6CE979C4" w:rsidR="00B01581" w:rsidRPr="00B01581" w:rsidRDefault="00B01581" w:rsidP="00B01581">
      <w:pPr>
        <w:pStyle w:val="BodyText"/>
        <w:spacing w:before="209" w:line="276" w:lineRule="auto"/>
        <w:ind w:left="165" w:right="166"/>
        <w:rPr>
          <w:b/>
          <w:lang w:val="en-IN"/>
        </w:rPr>
      </w:pPr>
      <w:r w:rsidRPr="00B01581">
        <w:rPr>
          <w:b/>
          <w:lang w:val="en-IN"/>
        </w:rPr>
        <w:t>Bowel Urgency as a Patient-Reported Outcome (PRO)</w:t>
      </w:r>
    </w:p>
    <w:p w14:paraId="34C576F8" w14:textId="77777777" w:rsidR="00B01581" w:rsidRPr="00B01581" w:rsidRDefault="00B01581" w:rsidP="00B01581">
      <w:pPr>
        <w:pStyle w:val="BodyText"/>
        <w:spacing w:before="209" w:line="276" w:lineRule="auto"/>
        <w:ind w:left="165" w:right="166"/>
        <w:rPr>
          <w:lang w:val="en-IN"/>
        </w:rPr>
      </w:pPr>
      <w:r w:rsidRPr="00B01581">
        <w:rPr>
          <w:lang w:val="en-IN"/>
        </w:rPr>
        <w:t xml:space="preserve">For too long, the assessment of IBD has been dominated by objective measures that, while scientifically sound, fail to capture the patient's lived experience. There is often a significant disconnect between what a healthcare professional sees on a lab report or endoscopy and what a patient feels in their daily life [4, 6]. A 2019 study, for instance, demonstrated that patients often prioritize symptoms like fatigue and urgency, while clinicians may focus more heavily on objective disease activity markers [6]. This highlights a long-standing communication gap in IBD care that is now being addressed through the formal inclusion of </w:t>
      </w:r>
      <w:proofErr w:type="spellStart"/>
      <w:r w:rsidRPr="00B01581">
        <w:rPr>
          <w:lang w:val="en-IN"/>
        </w:rPr>
        <w:lastRenderedPageBreak/>
        <w:t>PROs.</w:t>
      </w:r>
      <w:proofErr w:type="spellEnd"/>
    </w:p>
    <w:p w14:paraId="1671DBA4" w14:textId="77777777" w:rsidR="00B01581" w:rsidRPr="00B01581" w:rsidRDefault="00B01581" w:rsidP="00B01581">
      <w:pPr>
        <w:pStyle w:val="BodyText"/>
        <w:spacing w:before="209" w:line="276" w:lineRule="auto"/>
        <w:ind w:left="165" w:right="166"/>
        <w:rPr>
          <w:lang w:val="en-IN"/>
        </w:rPr>
      </w:pPr>
      <w:r w:rsidRPr="00B01581">
        <w:rPr>
          <w:lang w:val="en-IN"/>
        </w:rPr>
        <w:t xml:space="preserve">The international IBD community is increasingly recognizing that patient-centric outcomes must be at the forefront of disease management and research [5, 7]. A PRO, by its very nature, is a direct report from the patient about their health status, without any interpretation by a clinician [7]. Bowel urgency, as a PRO, offers a direct and unfiltered window into a patient’s most pressing concerns. The </w:t>
      </w:r>
      <w:r w:rsidRPr="00B01581">
        <w:rPr>
          <w:b/>
          <w:lang w:val="en-IN"/>
        </w:rPr>
        <w:t>absence of bowel urgency is increasingly recognized as a vital marker of true disease control and is strongly correlated with better clinical and endoscopic outcomes</w:t>
      </w:r>
      <w:r w:rsidRPr="00B01581">
        <w:rPr>
          <w:lang w:val="en-IN"/>
        </w:rPr>
        <w:t xml:space="preserve"> [14]. This suggests that it is not merely a cosmetic symptom, but a robust indicator of deep and meaningful disease remission. When a patient can go through their day without the constant fear of urgency, it signifies a return to a more normal and functional life, a goal that traditional metrics often miss.</w:t>
      </w:r>
    </w:p>
    <w:p w14:paraId="1642A5B7" w14:textId="28D7767E" w:rsidR="00B01581" w:rsidRPr="00B01581" w:rsidRDefault="00B01581" w:rsidP="00B01581">
      <w:pPr>
        <w:pStyle w:val="BodyText"/>
        <w:spacing w:before="209" w:line="276" w:lineRule="auto"/>
        <w:ind w:left="165" w:right="166"/>
        <w:rPr>
          <w:lang w:val="en-IN"/>
        </w:rPr>
      </w:pPr>
      <w:r w:rsidRPr="00B01581">
        <w:rPr>
          <w:lang w:val="en-IN"/>
        </w:rPr>
        <w:t>The development of validated PRO tools is a crucial next step in this paradigm shift [8]. The LISTEN 1 study provides a clear example of the effort to identify relevant and patient-meaningful outcomes [8]. By incorporating validated questions about urgency into routine clinical visits and clinical trials, clinicians can more accurately track the true impact of the disease and the effectiveness of treatment [9]. This is not just a theoretical exercise; it has real-world implications. If urgency is a primary driver of a patient’s poor quality of life, then its resolution should be a key target of therapy. Measuring and tracking urgency formally empowers both the patient and the clinician to work toward a more comprehensive treatment goal that goes beyond simply lowering inflammation.</w:t>
      </w:r>
    </w:p>
    <w:p w14:paraId="35CE40D3" w14:textId="1301150D" w:rsidR="00B01581" w:rsidRPr="00B01581" w:rsidRDefault="00B01581" w:rsidP="00B01581">
      <w:pPr>
        <w:pStyle w:val="BodyText"/>
        <w:spacing w:before="209" w:line="276" w:lineRule="auto"/>
        <w:ind w:left="165" w:right="166"/>
        <w:rPr>
          <w:b/>
          <w:lang w:val="en-IN"/>
        </w:rPr>
      </w:pPr>
      <w:r w:rsidRPr="00B01581">
        <w:rPr>
          <w:b/>
          <w:lang w:val="en-IN"/>
        </w:rPr>
        <w:t>Therapeutic Advances and Response of Bowel Urgency</w:t>
      </w:r>
    </w:p>
    <w:p w14:paraId="4499AF20" w14:textId="77777777" w:rsidR="00B01581" w:rsidRPr="00B01581" w:rsidRDefault="00B01581" w:rsidP="00B01581">
      <w:pPr>
        <w:pStyle w:val="BodyText"/>
        <w:spacing w:before="209" w:line="276" w:lineRule="auto"/>
        <w:ind w:left="165" w:right="166"/>
        <w:rPr>
          <w:lang w:val="en-IN"/>
        </w:rPr>
      </w:pPr>
      <w:r w:rsidRPr="00B01581">
        <w:rPr>
          <w:lang w:val="en-IN"/>
        </w:rPr>
        <w:t>The increasing focus on PROs has had a direct impact on the design and execution of recent clinical trials for new IBD therapies. These trials are now formally including bowel urgency as a key endpoint, providing compelling evidence that targeting the underlying inflammatory pathways can lead to a meaningful and rapid reduction in this debilitating symptom. This data is validating urgency as a legitimate and treatable component of IBD.</w:t>
      </w:r>
    </w:p>
    <w:p w14:paraId="56E03B9C" w14:textId="77777777" w:rsidR="00B01581" w:rsidRPr="00B01581" w:rsidRDefault="00B01581" w:rsidP="00B01581">
      <w:pPr>
        <w:pStyle w:val="BodyText"/>
        <w:spacing w:before="209" w:line="276" w:lineRule="auto"/>
        <w:ind w:left="165" w:right="166"/>
        <w:rPr>
          <w:lang w:val="en-IN"/>
        </w:rPr>
      </w:pPr>
      <w:r w:rsidRPr="00B01581">
        <w:rPr>
          <w:lang w:val="en-IN"/>
        </w:rPr>
        <w:t xml:space="preserve">A prime example is the new class of </w:t>
      </w:r>
      <w:r w:rsidRPr="00B01581">
        <w:rPr>
          <w:b/>
          <w:lang w:val="en-IN"/>
        </w:rPr>
        <w:t>interleukin-23 (IL-23) inhibitors</w:t>
      </w:r>
      <w:r w:rsidRPr="00B01581">
        <w:rPr>
          <w:lang w:val="en-IN"/>
        </w:rPr>
        <w:t xml:space="preserve">. </w:t>
      </w:r>
      <w:proofErr w:type="spellStart"/>
      <w:r w:rsidRPr="00B01581">
        <w:rPr>
          <w:b/>
          <w:lang w:val="en-IN"/>
        </w:rPr>
        <w:t>Mirikizumab</w:t>
      </w:r>
      <w:proofErr w:type="spellEnd"/>
      <w:r w:rsidRPr="00B01581">
        <w:rPr>
          <w:lang w:val="en-IN"/>
        </w:rPr>
        <w:t xml:space="preserve">, an IL-23 p19 subunit antagonist, has shown remarkable results in treating moderate to severe UC. In the Phase 3 LUCENT-1 and LUCENT-2 trials, patients who achieved a clinical response or remission with </w:t>
      </w:r>
      <w:proofErr w:type="spellStart"/>
      <w:r w:rsidRPr="00B01581">
        <w:rPr>
          <w:lang w:val="en-IN"/>
        </w:rPr>
        <w:t>mirikizumab</w:t>
      </w:r>
      <w:proofErr w:type="spellEnd"/>
      <w:r w:rsidRPr="00B01581">
        <w:rPr>
          <w:lang w:val="en-IN"/>
        </w:rPr>
        <w:t xml:space="preserve"> experienced significant and sustained improvement in bowel urgency as a patient-reported outcome [14]. The clinical relevance of this improvement was underscored by the strong correlation between urgency resolution and the achievement of other clinical and endoscopic endpoints [14]. The VIVID 1 study, which explored </w:t>
      </w:r>
      <w:proofErr w:type="spellStart"/>
      <w:r w:rsidRPr="00B01581">
        <w:rPr>
          <w:lang w:val="en-IN"/>
        </w:rPr>
        <w:t>mirikizumab</w:t>
      </w:r>
      <w:proofErr w:type="spellEnd"/>
      <w:r w:rsidRPr="00B01581">
        <w:rPr>
          <w:lang w:val="en-IN"/>
        </w:rPr>
        <w:t xml:space="preserve"> in Crohn's disease, similarly highlighted its clinical benefits [12]. Furthermore, </w:t>
      </w:r>
      <w:r w:rsidRPr="00B01581">
        <w:rPr>
          <w:b/>
          <w:lang w:val="en-IN"/>
        </w:rPr>
        <w:t>exit interviews</w:t>
      </w:r>
      <w:r w:rsidRPr="00B01581">
        <w:rPr>
          <w:lang w:val="en-IN"/>
        </w:rPr>
        <w:t xml:space="preserve"> conducted with patients in this trial provided invaluable qualitative data, with participants spontaneously identifying the significant relief from bowel urgency as one of the most impactful changes in their lives [15]. This is powerful evidence that the drug’s effect on urgency is not just statistically significant but also profoundly meaningful to the patient.</w:t>
      </w:r>
    </w:p>
    <w:p w14:paraId="20E71CB8" w14:textId="45EC3D86" w:rsidR="00B01581" w:rsidRPr="00B01581" w:rsidRDefault="00B01581" w:rsidP="00B01581">
      <w:pPr>
        <w:pStyle w:val="BodyText"/>
        <w:spacing w:before="209" w:line="276" w:lineRule="auto"/>
        <w:ind w:left="165" w:right="166"/>
        <w:rPr>
          <w:lang w:val="en-IN"/>
        </w:rPr>
      </w:pPr>
      <w:r w:rsidRPr="00B01581">
        <w:rPr>
          <w:lang w:val="en-IN"/>
        </w:rPr>
        <w:t xml:space="preserve">Other therapeutic agents are also showing similar success. The IL-23 inhibitor </w:t>
      </w:r>
      <w:proofErr w:type="spellStart"/>
      <w:r w:rsidRPr="00B01581">
        <w:rPr>
          <w:b/>
          <w:lang w:val="en-IN"/>
        </w:rPr>
        <w:t>risankizumab</w:t>
      </w:r>
      <w:proofErr w:type="spellEnd"/>
      <w:r w:rsidRPr="00B01581">
        <w:rPr>
          <w:lang w:val="en-IN"/>
        </w:rPr>
        <w:t xml:space="preserve"> demonstrated efficacy in the INSPIRE study for UC, with notable improvements in patient symptoms, including urgency [16]. Similarly, the JAK inhibitor </w:t>
      </w:r>
      <w:r w:rsidRPr="00B01581">
        <w:rPr>
          <w:b/>
          <w:lang w:val="en-IN"/>
        </w:rPr>
        <w:t>upadacitinib</w:t>
      </w:r>
      <w:r w:rsidRPr="00B01581">
        <w:rPr>
          <w:lang w:val="en-IN"/>
        </w:rPr>
        <w:t xml:space="preserve"> has been shown to provide rapid symptom relief, including improvements in bowel urgency, in patients with moderate to severe UC [3]. The rapid onset of action of these therapies is particularly relevant for urgency, a symptom that requires immediate relief to restore a patient’s sense of </w:t>
      </w:r>
      <w:r w:rsidRPr="00B01581">
        <w:rPr>
          <w:lang w:val="en-IN"/>
        </w:rPr>
        <w:lastRenderedPageBreak/>
        <w:t>control and confidence [3]. These findings from multiple drug classes demonstrate that bowel urgency is indeed a targetable symptom, and its resolution can be a key marker of therapeutic success. By including urgency as a formal endpoint, these trials have provided the critical data needed to shift the clinical paradigm toward a more patient-</w:t>
      </w:r>
      <w:proofErr w:type="spellStart"/>
      <w:r w:rsidRPr="00B01581">
        <w:rPr>
          <w:lang w:val="en-IN"/>
        </w:rPr>
        <w:t>centered</w:t>
      </w:r>
      <w:proofErr w:type="spellEnd"/>
      <w:r w:rsidRPr="00B01581">
        <w:rPr>
          <w:lang w:val="en-IN"/>
        </w:rPr>
        <w:t xml:space="preserve"> approach.</w:t>
      </w:r>
    </w:p>
    <w:p w14:paraId="4CE07E38" w14:textId="28C6A51E" w:rsidR="00B01581" w:rsidRPr="00B01581" w:rsidRDefault="00B01581" w:rsidP="00B01581">
      <w:pPr>
        <w:pStyle w:val="BodyText"/>
        <w:spacing w:before="209" w:line="276" w:lineRule="auto"/>
        <w:ind w:left="165" w:right="166"/>
        <w:rPr>
          <w:b/>
          <w:lang w:val="en-IN"/>
        </w:rPr>
      </w:pPr>
      <w:r w:rsidRPr="00B01581">
        <w:rPr>
          <w:b/>
          <w:lang w:val="en-IN"/>
        </w:rPr>
        <w:t>Conclusion</w:t>
      </w:r>
    </w:p>
    <w:p w14:paraId="5B570322" w14:textId="77777777" w:rsidR="00B01581" w:rsidRPr="00B01581" w:rsidRDefault="00B01581" w:rsidP="00B01581">
      <w:pPr>
        <w:pStyle w:val="BodyText"/>
        <w:spacing w:before="209" w:line="276" w:lineRule="auto"/>
        <w:ind w:left="165" w:right="166"/>
        <w:rPr>
          <w:lang w:val="en-IN"/>
        </w:rPr>
      </w:pPr>
      <w:r w:rsidRPr="00B01581">
        <w:rPr>
          <w:lang w:val="en-IN"/>
        </w:rPr>
        <w:t>Bowel urgency is a central and profoundly debilitating symptom for many individuals living with inflammatory bowel disease. Its high prevalence, even in periods of clinical remission, and its profound impact on a patient’s emotional, social, and professional well-being highlight a significant and long-standing unmet need in IBD management. For too long, this symptom has been underrecognized in clinical practice and overshadowed by objective measures of inflammation.</w:t>
      </w:r>
    </w:p>
    <w:p w14:paraId="3420128F" w14:textId="77777777" w:rsidR="00B01581" w:rsidRPr="00B01581" w:rsidRDefault="00B01581" w:rsidP="00B01581">
      <w:pPr>
        <w:pStyle w:val="BodyText"/>
        <w:spacing w:before="209" w:line="276" w:lineRule="auto"/>
        <w:ind w:left="165" w:right="166"/>
        <w:rPr>
          <w:lang w:val="en-IN"/>
        </w:rPr>
      </w:pPr>
      <w:r w:rsidRPr="00B01581">
        <w:rPr>
          <w:lang w:val="en-IN"/>
        </w:rPr>
        <w:t xml:space="preserve">However, a new and transformative paradigm is emerging. There is a clear and growing consensus that PROs, and specifically bowel urgency, must be integrated into routine clinical care and future research [3, 4, 9]. The strong correlation between the absence of urgency and improved clinical and endoscopic outcomes reinforces its value as a crucial indicator of true and comprehensive disease control [14]. The compelling data from recent clinical trials for new therapies, such as </w:t>
      </w:r>
      <w:proofErr w:type="spellStart"/>
      <w:r w:rsidRPr="00B01581">
        <w:rPr>
          <w:lang w:val="en-IN"/>
        </w:rPr>
        <w:t>mirikizumab</w:t>
      </w:r>
      <w:proofErr w:type="spellEnd"/>
      <w:r w:rsidRPr="00B01581">
        <w:rPr>
          <w:lang w:val="en-IN"/>
        </w:rPr>
        <w:t xml:space="preserve">, upadacitinib, and </w:t>
      </w:r>
      <w:proofErr w:type="spellStart"/>
      <w:r w:rsidRPr="00B01581">
        <w:rPr>
          <w:lang w:val="en-IN"/>
        </w:rPr>
        <w:t>risankizumab</w:t>
      </w:r>
      <w:proofErr w:type="spellEnd"/>
      <w:r w:rsidRPr="00B01581">
        <w:rPr>
          <w:lang w:val="en-IN"/>
        </w:rPr>
        <w:t>, provides powerful evidence that bowel urgency is not an intractable issue but a treatable one [12, 13, 14, 15, 16]. The ability of these drugs to mitigate this specific symptom validates its potential as a measurable and meaningful endpoint for assessing therapeutic success.</w:t>
      </w:r>
    </w:p>
    <w:p w14:paraId="12B5A5AF" w14:textId="2798B78F" w:rsidR="00B01581" w:rsidRPr="00B01581" w:rsidRDefault="00B01581" w:rsidP="00B01581">
      <w:pPr>
        <w:pStyle w:val="BodyText"/>
        <w:spacing w:before="209" w:line="276" w:lineRule="auto"/>
        <w:ind w:left="165" w:right="166"/>
        <w:rPr>
          <w:lang w:val="en-IN"/>
        </w:rPr>
      </w:pPr>
      <w:r w:rsidRPr="00B01581">
        <w:rPr>
          <w:lang w:val="en-IN"/>
        </w:rPr>
        <w:t>Moving forward, a collaborative effort is needed to ensure better patient-clinician communication regarding all symptoms, not just those traditionally assessed. The systematic use of validated PRO tools is essential to capture the full picture of a patient's health and to ensure that treatment goals are aligned with what matters most to them—the ability to live a life free from the constant fear and limitations imposed by bowel urgency [8, 9]. By prioritizing this crucial symptom, we can move closer to achieving a more comprehensive, empathetic, and ultimately, more effective standard of care for individuals with IBD.</w:t>
      </w:r>
    </w:p>
    <w:p w14:paraId="2557AFD4" w14:textId="5AF5ED2D" w:rsidR="00B01581" w:rsidRPr="00B01581" w:rsidRDefault="00B01581" w:rsidP="00B01581">
      <w:pPr>
        <w:pStyle w:val="BodyText"/>
        <w:spacing w:before="209" w:line="276" w:lineRule="auto"/>
        <w:ind w:left="165" w:right="166"/>
        <w:rPr>
          <w:b/>
          <w:lang w:val="en-IN"/>
        </w:rPr>
      </w:pPr>
      <w:r w:rsidRPr="00B01581">
        <w:rPr>
          <w:b/>
          <w:lang w:val="en-IN"/>
        </w:rPr>
        <w:t>References</w:t>
      </w:r>
    </w:p>
    <w:p w14:paraId="30011EAD" w14:textId="7102F024"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Greenberger NJ, Blumberg RS, </w:t>
      </w:r>
      <w:proofErr w:type="spellStart"/>
      <w:r w:rsidRPr="00B01581">
        <w:rPr>
          <w:lang w:val="en-IN"/>
        </w:rPr>
        <w:t>Burakoff</w:t>
      </w:r>
      <w:proofErr w:type="spellEnd"/>
      <w:r w:rsidRPr="00B01581">
        <w:rPr>
          <w:lang w:val="en-IN"/>
        </w:rPr>
        <w:t xml:space="preserve"> R. eds. CURRENT Diagnosis &amp; Treatment: Gastroenterology, Hepatology, &amp; Endoscopy, 3e. McGraw-Hill Education; 2016. ISBN:978-0-07-183773-6</w:t>
      </w:r>
    </w:p>
    <w:p w14:paraId="36029157" w14:textId="7390E330"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Barnes, A., Toson, B., Bryant, R. et al. Latent profiles of fatigue in inflammatory bowel disease. BMC Gastroenterol 24, 148 (2024). </w:t>
      </w:r>
      <w:hyperlink r:id="rId9">
        <w:r w:rsidRPr="00B01581">
          <w:rPr>
            <w:rStyle w:val="Hyperlink"/>
            <w:lang w:val="en-IN"/>
          </w:rPr>
          <w:t>https://doi.org/10.1186/s12876-024-03239-2</w:t>
        </w:r>
      </w:hyperlink>
    </w:p>
    <w:p w14:paraId="1B8E7CD1" w14:textId="27EA31B9"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Dubinsky M, </w:t>
      </w:r>
      <w:proofErr w:type="spellStart"/>
      <w:r w:rsidRPr="00B01581">
        <w:rPr>
          <w:lang w:val="en-IN"/>
        </w:rPr>
        <w:t>Bleakman</w:t>
      </w:r>
      <w:proofErr w:type="spellEnd"/>
      <w:r w:rsidRPr="00B01581">
        <w:rPr>
          <w:lang w:val="en-IN"/>
        </w:rPr>
        <w:t xml:space="preserve"> AP, Panaccione R, Hibi T, Schreiber S, Rubin D, </w:t>
      </w:r>
      <w:proofErr w:type="spellStart"/>
      <w:r w:rsidRPr="00B01581">
        <w:rPr>
          <w:lang w:val="en-IN"/>
        </w:rPr>
        <w:t>Dignass</w:t>
      </w:r>
      <w:proofErr w:type="spellEnd"/>
      <w:r w:rsidRPr="00B01581">
        <w:rPr>
          <w:lang w:val="en-IN"/>
        </w:rPr>
        <w:t xml:space="preserve"> A, Redondo I, Gibble TH, Kayhan C, Travis S. Bowel Urgency in Ulcerative Colitis: Current Perspectives and Future Directions. Am J Gastroenterol. 2023 Nov 1;118(11):1940-1953. </w:t>
      </w:r>
      <w:proofErr w:type="spellStart"/>
      <w:r w:rsidRPr="00B01581">
        <w:rPr>
          <w:lang w:val="en-IN"/>
        </w:rPr>
        <w:t>doi</w:t>
      </w:r>
      <w:proofErr w:type="spellEnd"/>
      <w:r w:rsidRPr="00B01581">
        <w:rPr>
          <w:lang w:val="en-IN"/>
        </w:rPr>
        <w:t xml:space="preserve">: 10.14309/ajg.0000000000002404. </w:t>
      </w:r>
      <w:proofErr w:type="spellStart"/>
      <w:r w:rsidRPr="00B01581">
        <w:rPr>
          <w:lang w:val="en-IN"/>
        </w:rPr>
        <w:t>Epub</w:t>
      </w:r>
      <w:proofErr w:type="spellEnd"/>
      <w:r w:rsidRPr="00B01581">
        <w:rPr>
          <w:lang w:val="en-IN"/>
        </w:rPr>
        <w:t xml:space="preserve"> 2023 Jun 12. PMID: 37436151; PMCID: PMC10617668.</w:t>
      </w:r>
    </w:p>
    <w:p w14:paraId="445718F8" w14:textId="2521EE58"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Horrigan JM, Louis E, Spinelli A, Travis S, Moum B, Salwen-</w:t>
      </w:r>
      <w:proofErr w:type="spellStart"/>
      <w:r w:rsidRPr="00B01581">
        <w:rPr>
          <w:lang w:val="en-IN"/>
        </w:rPr>
        <w:t>Deremer</w:t>
      </w:r>
      <w:proofErr w:type="spellEnd"/>
      <w:r w:rsidRPr="00B01581">
        <w:rPr>
          <w:lang w:val="en-IN"/>
        </w:rPr>
        <w:t xml:space="preserve"> J, </w:t>
      </w:r>
      <w:proofErr w:type="spellStart"/>
      <w:r w:rsidRPr="00B01581">
        <w:rPr>
          <w:lang w:val="en-IN"/>
        </w:rPr>
        <w:t>Halfvarson</w:t>
      </w:r>
      <w:proofErr w:type="spellEnd"/>
      <w:r w:rsidRPr="00B01581">
        <w:rPr>
          <w:lang w:val="en-IN"/>
        </w:rPr>
        <w:t xml:space="preserve"> J, Panaccione R, Dubinsky MC, Munkholm P, Siegel CA. The Real-World Global Use of Patient-Reported Outcomes for the Care of Patients </w:t>
      </w:r>
      <w:proofErr w:type="gramStart"/>
      <w:r w:rsidRPr="00B01581">
        <w:rPr>
          <w:lang w:val="en-IN"/>
        </w:rPr>
        <w:t>With</w:t>
      </w:r>
      <w:proofErr w:type="gramEnd"/>
      <w:r w:rsidRPr="00B01581">
        <w:rPr>
          <w:lang w:val="en-IN"/>
        </w:rPr>
        <w:t xml:space="preserve"> Inflammatory Bowel Disease. </w:t>
      </w:r>
      <w:proofErr w:type="spellStart"/>
      <w:r w:rsidRPr="00B01581">
        <w:rPr>
          <w:lang w:val="en-IN"/>
        </w:rPr>
        <w:t>Crohns</w:t>
      </w:r>
      <w:proofErr w:type="spellEnd"/>
      <w:r w:rsidRPr="00B01581">
        <w:rPr>
          <w:lang w:val="en-IN"/>
        </w:rPr>
        <w:t xml:space="preserve"> Colitis 360. 2023 Feb 22;5(2</w:t>
      </w:r>
      <w:proofErr w:type="gramStart"/>
      <w:r w:rsidRPr="00B01581">
        <w:rPr>
          <w:lang w:val="en-IN"/>
        </w:rPr>
        <w:t>):otad</w:t>
      </w:r>
      <w:proofErr w:type="gramEnd"/>
      <w:r w:rsidRPr="00B01581">
        <w:rPr>
          <w:lang w:val="en-IN"/>
        </w:rPr>
        <w:t xml:space="preserve">006. </w:t>
      </w:r>
      <w:proofErr w:type="spellStart"/>
      <w:r w:rsidRPr="00B01581">
        <w:rPr>
          <w:lang w:val="en-IN"/>
        </w:rPr>
        <w:t>doi</w:t>
      </w:r>
      <w:proofErr w:type="spellEnd"/>
      <w:r w:rsidRPr="00B01581">
        <w:rPr>
          <w:lang w:val="en-IN"/>
        </w:rPr>
        <w:t>: 10.1093/</w:t>
      </w:r>
      <w:proofErr w:type="spellStart"/>
      <w:r w:rsidRPr="00B01581">
        <w:rPr>
          <w:lang w:val="en-IN"/>
        </w:rPr>
        <w:t>crocol</w:t>
      </w:r>
      <w:proofErr w:type="spellEnd"/>
      <w:r w:rsidRPr="00B01581">
        <w:rPr>
          <w:lang w:val="en-IN"/>
        </w:rPr>
        <w:t>/otad006. PMID: 36937140; PMCID: PMC10022710.</w:t>
      </w:r>
    </w:p>
    <w:p w14:paraId="5C65C107" w14:textId="509B48A6" w:rsidR="00B01581" w:rsidRPr="00B01581" w:rsidRDefault="00B01581" w:rsidP="00B01581">
      <w:pPr>
        <w:pStyle w:val="BodyText"/>
        <w:numPr>
          <w:ilvl w:val="0"/>
          <w:numId w:val="5"/>
        </w:numPr>
        <w:spacing w:before="209" w:line="276" w:lineRule="auto"/>
        <w:ind w:right="166"/>
        <w:rPr>
          <w:lang w:val="en-IN"/>
        </w:rPr>
      </w:pPr>
      <w:r w:rsidRPr="00B01581">
        <w:rPr>
          <w:lang w:val="en-IN"/>
        </w:rPr>
        <w:lastRenderedPageBreak/>
        <w:t xml:space="preserve"> Kim AH, Roberts C, Feagan BG, Banerjee R, </w:t>
      </w:r>
      <w:proofErr w:type="spellStart"/>
      <w:r w:rsidRPr="00B01581">
        <w:rPr>
          <w:lang w:val="en-IN"/>
        </w:rPr>
        <w:t>Bemelman</w:t>
      </w:r>
      <w:proofErr w:type="spellEnd"/>
      <w:r w:rsidRPr="00B01581">
        <w:rPr>
          <w:lang w:val="en-IN"/>
        </w:rPr>
        <w:t xml:space="preserve"> W, Bodger K, </w:t>
      </w:r>
      <w:proofErr w:type="spellStart"/>
      <w:r w:rsidRPr="00B01581">
        <w:rPr>
          <w:lang w:val="en-IN"/>
        </w:rPr>
        <w:t>Derieppe</w:t>
      </w:r>
      <w:proofErr w:type="spellEnd"/>
      <w:r w:rsidRPr="00B01581">
        <w:rPr>
          <w:lang w:val="en-IN"/>
        </w:rPr>
        <w:t xml:space="preserve"> M, </w:t>
      </w:r>
      <w:proofErr w:type="spellStart"/>
      <w:r w:rsidRPr="00B01581">
        <w:rPr>
          <w:lang w:val="en-IN"/>
        </w:rPr>
        <w:t>Dignass</w:t>
      </w:r>
      <w:proofErr w:type="spellEnd"/>
      <w:r w:rsidRPr="00B01581">
        <w:rPr>
          <w:lang w:val="en-IN"/>
        </w:rPr>
        <w:t xml:space="preserve"> A, Driscoll R, Fitzpatrick R, </w:t>
      </w:r>
      <w:proofErr w:type="spellStart"/>
      <w:r w:rsidRPr="00B01581">
        <w:rPr>
          <w:lang w:val="en-IN"/>
        </w:rPr>
        <w:t>Gaarentstroom</w:t>
      </w:r>
      <w:proofErr w:type="spellEnd"/>
      <w:r w:rsidRPr="00B01581">
        <w:rPr>
          <w:lang w:val="en-IN"/>
        </w:rPr>
        <w:t xml:space="preserve">-Lunt J, Higgins PD, Kotze PG, Meissner J, O’Connor M, Ran ZH, Siegel CA, Terry H, van Deen WK, van der Woude CJ, Weaver A, Yang SK, Sands BE, Vermeire S, Travis SP. Developing a Standard Set of Patient-Centred Outcomes for Inflammatory Bowel Disease-an International, Cross-disciplinary Consensus. J </w:t>
      </w:r>
      <w:proofErr w:type="spellStart"/>
      <w:r w:rsidRPr="00B01581">
        <w:rPr>
          <w:lang w:val="en-IN"/>
        </w:rPr>
        <w:t>Crohns</w:t>
      </w:r>
      <w:proofErr w:type="spellEnd"/>
      <w:r w:rsidRPr="00B01581">
        <w:rPr>
          <w:lang w:val="en-IN"/>
        </w:rPr>
        <w:t xml:space="preserve"> Colitis. 2018 Mar 28;12(4):408-418. </w:t>
      </w:r>
      <w:proofErr w:type="spellStart"/>
      <w:r w:rsidRPr="00B01581">
        <w:rPr>
          <w:lang w:val="en-IN"/>
        </w:rPr>
        <w:t>doi</w:t>
      </w:r>
      <w:proofErr w:type="spellEnd"/>
      <w:r w:rsidRPr="00B01581">
        <w:rPr>
          <w:lang w:val="en-IN"/>
        </w:rPr>
        <w:t>: 10.1093/</w:t>
      </w:r>
      <w:proofErr w:type="spellStart"/>
      <w:r w:rsidRPr="00B01581">
        <w:rPr>
          <w:lang w:val="en-IN"/>
        </w:rPr>
        <w:t>ecco-jcc</w:t>
      </w:r>
      <w:proofErr w:type="spellEnd"/>
      <w:r w:rsidRPr="00B01581">
        <w:rPr>
          <w:lang w:val="en-IN"/>
        </w:rPr>
        <w:t>/jjx161. PMID: 29216349.</w:t>
      </w:r>
    </w:p>
    <w:p w14:paraId="46AB08B4" w14:textId="65A2283D"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Pittet VEH, Maillard MH, Simonson T, Fournier N, Rogler G, Michetti P; Swiss IBD Cohort Study </w:t>
      </w:r>
      <w:proofErr w:type="gramStart"/>
      <w:r w:rsidRPr="00B01581">
        <w:rPr>
          <w:lang w:val="en-IN"/>
        </w:rPr>
        <w:t>Group(</w:t>
      </w:r>
      <w:proofErr w:type="gramEnd"/>
      <w:r w:rsidRPr="00B01581">
        <w:rPr>
          <w:rFonts w:ascii="Cambria Math" w:hAnsi="Cambria Math" w:cs="Cambria Math"/>
          <w:lang w:val="en-IN"/>
        </w:rPr>
        <w:t>∗</w:t>
      </w:r>
      <w:r w:rsidRPr="00B01581">
        <w:rPr>
          <w:lang w:val="en-IN"/>
        </w:rPr>
        <w:t xml:space="preserve">). Differences in Outcomes Reported by Patients </w:t>
      </w:r>
      <w:proofErr w:type="gramStart"/>
      <w:r w:rsidRPr="00B01581">
        <w:rPr>
          <w:lang w:val="en-IN"/>
        </w:rPr>
        <w:t>With</w:t>
      </w:r>
      <w:proofErr w:type="gramEnd"/>
      <w:r w:rsidRPr="00B01581">
        <w:rPr>
          <w:lang w:val="en-IN"/>
        </w:rPr>
        <w:t xml:space="preserve"> Inflammatory Bowel Diseases vs Their Health Care Professionals. Clin Gastroenterol Hepatol. 2019 Sep;17(10):2050-2059.e1. </w:t>
      </w:r>
      <w:proofErr w:type="spellStart"/>
      <w:r w:rsidRPr="00B01581">
        <w:rPr>
          <w:lang w:val="en-IN"/>
        </w:rPr>
        <w:t>doi</w:t>
      </w:r>
      <w:proofErr w:type="spellEnd"/>
      <w:r w:rsidRPr="00B01581">
        <w:rPr>
          <w:lang w:val="en-IN"/>
        </w:rPr>
        <w:t xml:space="preserve">: 10.1016/j.cgh.2018.11.029. </w:t>
      </w:r>
      <w:proofErr w:type="spellStart"/>
      <w:r w:rsidRPr="00B01581">
        <w:rPr>
          <w:lang w:val="en-IN"/>
        </w:rPr>
        <w:t>Epub</w:t>
      </w:r>
      <w:proofErr w:type="spellEnd"/>
      <w:r w:rsidRPr="00B01581">
        <w:rPr>
          <w:lang w:val="en-IN"/>
        </w:rPr>
        <w:t xml:space="preserve"> 2018 Nov 22. PMID: 30471455.</w:t>
      </w:r>
    </w:p>
    <w:p w14:paraId="2A79AF18" w14:textId="467FA93A"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w:t>
      </w:r>
      <w:proofErr w:type="spellStart"/>
      <w:r w:rsidRPr="00B01581">
        <w:rPr>
          <w:lang w:val="en-IN"/>
        </w:rPr>
        <w:t>Williet</w:t>
      </w:r>
      <w:proofErr w:type="spellEnd"/>
      <w:r w:rsidRPr="00B01581">
        <w:rPr>
          <w:lang w:val="en-IN"/>
        </w:rPr>
        <w:t xml:space="preserve"> N, Sandborn WJ, </w:t>
      </w:r>
      <w:proofErr w:type="spellStart"/>
      <w:r w:rsidRPr="00B01581">
        <w:rPr>
          <w:lang w:val="en-IN"/>
        </w:rPr>
        <w:t>Peyrin-Biroulet</w:t>
      </w:r>
      <w:proofErr w:type="spellEnd"/>
      <w:r w:rsidRPr="00B01581">
        <w:rPr>
          <w:lang w:val="en-IN"/>
        </w:rPr>
        <w:t xml:space="preserve"> L. Patient-reported outcomes as primary end points in clinical trials of inflammatory bowel disease. Clin Gastroenterol Hepatol. 2014 Aug;12(8):1246-</w:t>
      </w:r>
      <w:proofErr w:type="gramStart"/>
      <w:r w:rsidRPr="00B01581">
        <w:rPr>
          <w:lang w:val="en-IN"/>
        </w:rPr>
        <w:t>56.e</w:t>
      </w:r>
      <w:proofErr w:type="gramEnd"/>
      <w:r w:rsidRPr="00B01581">
        <w:rPr>
          <w:lang w:val="en-IN"/>
        </w:rPr>
        <w:t xml:space="preserve">6. </w:t>
      </w:r>
      <w:proofErr w:type="spellStart"/>
      <w:r w:rsidRPr="00B01581">
        <w:rPr>
          <w:lang w:val="en-IN"/>
        </w:rPr>
        <w:t>doi</w:t>
      </w:r>
      <w:proofErr w:type="spellEnd"/>
      <w:r w:rsidRPr="00B01581">
        <w:rPr>
          <w:lang w:val="en-IN"/>
        </w:rPr>
        <w:t xml:space="preserve">: 10.1016/j.cgh.2014.02.016. </w:t>
      </w:r>
      <w:proofErr w:type="spellStart"/>
      <w:r w:rsidRPr="00B01581">
        <w:rPr>
          <w:lang w:val="en-IN"/>
        </w:rPr>
        <w:t>Epub</w:t>
      </w:r>
      <w:proofErr w:type="spellEnd"/>
      <w:r w:rsidRPr="00B01581">
        <w:rPr>
          <w:lang w:val="en-IN"/>
        </w:rPr>
        <w:t xml:space="preserve"> 2014 Feb 15. PMID: 24534550.</w:t>
      </w:r>
    </w:p>
    <w:p w14:paraId="193EED0F" w14:textId="2FADC27B"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Teich N, Schulze H, Knop J, Obermeier M, </w:t>
      </w:r>
      <w:proofErr w:type="spellStart"/>
      <w:r w:rsidRPr="00B01581">
        <w:rPr>
          <w:lang w:val="en-IN"/>
        </w:rPr>
        <w:t>Stallmach</w:t>
      </w:r>
      <w:proofErr w:type="spellEnd"/>
      <w:r w:rsidRPr="00B01581">
        <w:rPr>
          <w:lang w:val="en-IN"/>
        </w:rPr>
        <w:t xml:space="preserve"> A. Novel Approaches Identifying Relevant Patient-Reported Outcomes in Patients </w:t>
      </w:r>
      <w:proofErr w:type="gramStart"/>
      <w:r w:rsidRPr="00B01581">
        <w:rPr>
          <w:lang w:val="en-IN"/>
        </w:rPr>
        <w:t>With</w:t>
      </w:r>
      <w:proofErr w:type="gramEnd"/>
      <w:r w:rsidRPr="00B01581">
        <w:rPr>
          <w:lang w:val="en-IN"/>
        </w:rPr>
        <w:t xml:space="preserve"> Inflammatory Bowel Diseases-LISTEN 1. </w:t>
      </w:r>
      <w:proofErr w:type="spellStart"/>
      <w:r w:rsidRPr="00B01581">
        <w:rPr>
          <w:lang w:val="en-IN"/>
        </w:rPr>
        <w:t>Crohns</w:t>
      </w:r>
      <w:proofErr w:type="spellEnd"/>
      <w:r w:rsidRPr="00B01581">
        <w:rPr>
          <w:lang w:val="en-IN"/>
        </w:rPr>
        <w:t xml:space="preserve"> Colitis 360. 2021 Jul 17;3(3</w:t>
      </w:r>
      <w:proofErr w:type="gramStart"/>
      <w:r w:rsidRPr="00B01581">
        <w:rPr>
          <w:lang w:val="en-IN"/>
        </w:rPr>
        <w:t>):otab</w:t>
      </w:r>
      <w:proofErr w:type="gramEnd"/>
      <w:r w:rsidRPr="00B01581">
        <w:rPr>
          <w:lang w:val="en-IN"/>
        </w:rPr>
        <w:t xml:space="preserve">050. </w:t>
      </w:r>
      <w:proofErr w:type="spellStart"/>
      <w:r w:rsidRPr="00B01581">
        <w:rPr>
          <w:lang w:val="en-IN"/>
        </w:rPr>
        <w:t>doi</w:t>
      </w:r>
      <w:proofErr w:type="spellEnd"/>
      <w:r w:rsidRPr="00B01581">
        <w:rPr>
          <w:lang w:val="en-IN"/>
        </w:rPr>
        <w:t>: 10.1093/</w:t>
      </w:r>
      <w:proofErr w:type="spellStart"/>
      <w:r w:rsidRPr="00B01581">
        <w:rPr>
          <w:lang w:val="en-IN"/>
        </w:rPr>
        <w:t>crocol</w:t>
      </w:r>
      <w:proofErr w:type="spellEnd"/>
      <w:r w:rsidRPr="00B01581">
        <w:rPr>
          <w:lang w:val="en-IN"/>
        </w:rPr>
        <w:t>/otab050. PMID: 36776662; PMCID: PMC9802460.</w:t>
      </w:r>
    </w:p>
    <w:p w14:paraId="1E191AEA" w14:textId="4AF6C665"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Travis S, Potts </w:t>
      </w:r>
      <w:proofErr w:type="spellStart"/>
      <w:r w:rsidRPr="00B01581">
        <w:rPr>
          <w:lang w:val="en-IN"/>
        </w:rPr>
        <w:t>Bleakman</w:t>
      </w:r>
      <w:proofErr w:type="spellEnd"/>
      <w:r w:rsidRPr="00B01581">
        <w:rPr>
          <w:lang w:val="en-IN"/>
        </w:rPr>
        <w:t xml:space="preserve"> A, Dubinsky MC, Schreiber S, Panaccione R, Hibi T, Hunter Gibble T, Kayhan C, Atkinson C, Sapin C, Flynn EJ, Rubin DT. The Communicating Needs and Features of IBD Experiences (CONFIDE) Study: US and European Patient and Health Care Professional Perceptions of the Experience and Impact of Symptoms of Moderate-to-Severe Ulcerative Colitis. </w:t>
      </w:r>
      <w:proofErr w:type="spellStart"/>
      <w:r w:rsidRPr="00B01581">
        <w:rPr>
          <w:lang w:val="en-IN"/>
        </w:rPr>
        <w:t>Inflamm</w:t>
      </w:r>
      <w:proofErr w:type="spellEnd"/>
      <w:r w:rsidRPr="00B01581">
        <w:rPr>
          <w:lang w:val="en-IN"/>
        </w:rPr>
        <w:t xml:space="preserve"> Bowel Dis. 2024 Jun 3;30(6):939-949. </w:t>
      </w:r>
      <w:proofErr w:type="spellStart"/>
      <w:r w:rsidRPr="00B01581">
        <w:rPr>
          <w:lang w:val="en-IN"/>
        </w:rPr>
        <w:t>doi</w:t>
      </w:r>
      <w:proofErr w:type="spellEnd"/>
      <w:r w:rsidRPr="00B01581">
        <w:rPr>
          <w:lang w:val="en-IN"/>
        </w:rPr>
        <w:t>: 10.1093/</w:t>
      </w:r>
      <w:proofErr w:type="spellStart"/>
      <w:r w:rsidRPr="00B01581">
        <w:rPr>
          <w:lang w:val="en-IN"/>
        </w:rPr>
        <w:t>ibd</w:t>
      </w:r>
      <w:proofErr w:type="spellEnd"/>
      <w:r w:rsidRPr="00B01581">
        <w:rPr>
          <w:lang w:val="en-IN"/>
        </w:rPr>
        <w:t>/izad142. PMID: 37603837; PMCID: PMC11144997.</w:t>
      </w:r>
    </w:p>
    <w:p w14:paraId="442A3AE8" w14:textId="3064BB77"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w:t>
      </w:r>
      <w:proofErr w:type="spellStart"/>
      <w:r w:rsidRPr="00B01581">
        <w:rPr>
          <w:lang w:val="en-IN"/>
        </w:rPr>
        <w:t>Roseira</w:t>
      </w:r>
      <w:proofErr w:type="spellEnd"/>
      <w:r w:rsidRPr="00B01581">
        <w:rPr>
          <w:lang w:val="en-IN"/>
        </w:rPr>
        <w:t xml:space="preserve"> J, Magro F, Fernandes S, Simões C, Portela F, Vieira AI, </w:t>
      </w:r>
      <w:proofErr w:type="spellStart"/>
      <w:r w:rsidRPr="00B01581">
        <w:rPr>
          <w:lang w:val="en-IN"/>
        </w:rPr>
        <w:t>Patita</w:t>
      </w:r>
      <w:proofErr w:type="spellEnd"/>
      <w:r w:rsidRPr="00B01581">
        <w:rPr>
          <w:lang w:val="en-IN"/>
        </w:rPr>
        <w:t xml:space="preserve"> M, Leal C, Lago P, Caldeira P, Gago T, </w:t>
      </w:r>
      <w:proofErr w:type="spellStart"/>
      <w:r w:rsidRPr="00B01581">
        <w:rPr>
          <w:lang w:val="en-IN"/>
        </w:rPr>
        <w:t>Currais</w:t>
      </w:r>
      <w:proofErr w:type="spellEnd"/>
      <w:r w:rsidRPr="00B01581">
        <w:rPr>
          <w:lang w:val="en-IN"/>
        </w:rPr>
        <w:t xml:space="preserve"> P, Dias CC, Santiago M, Dias S, Tavares de Sousa H. Sexual Quality of Life in Inflammatory Bowel Disease: A </w:t>
      </w:r>
      <w:proofErr w:type="spellStart"/>
      <w:r w:rsidRPr="00B01581">
        <w:rPr>
          <w:lang w:val="en-IN"/>
        </w:rPr>
        <w:t>Multicenter</w:t>
      </w:r>
      <w:proofErr w:type="spellEnd"/>
      <w:r w:rsidRPr="00B01581">
        <w:rPr>
          <w:lang w:val="en-IN"/>
        </w:rPr>
        <w:t xml:space="preserve">, National-Level Study. </w:t>
      </w:r>
      <w:proofErr w:type="spellStart"/>
      <w:r w:rsidRPr="00B01581">
        <w:rPr>
          <w:lang w:val="en-IN"/>
        </w:rPr>
        <w:t>Inflamm</w:t>
      </w:r>
      <w:proofErr w:type="spellEnd"/>
      <w:r w:rsidRPr="00B01581">
        <w:rPr>
          <w:lang w:val="en-IN"/>
        </w:rPr>
        <w:t xml:space="preserve"> Bowel Dis. 2020 Apr 11;26(5):746-755. </w:t>
      </w:r>
      <w:proofErr w:type="spellStart"/>
      <w:r w:rsidRPr="00B01581">
        <w:rPr>
          <w:lang w:val="en-IN"/>
        </w:rPr>
        <w:t>doi</w:t>
      </w:r>
      <w:proofErr w:type="spellEnd"/>
      <w:r w:rsidRPr="00B01581">
        <w:rPr>
          <w:lang w:val="en-IN"/>
        </w:rPr>
        <w:t>: 10.1093/</w:t>
      </w:r>
      <w:proofErr w:type="spellStart"/>
      <w:r w:rsidRPr="00B01581">
        <w:rPr>
          <w:lang w:val="en-IN"/>
        </w:rPr>
        <w:t>ibd</w:t>
      </w:r>
      <w:proofErr w:type="spellEnd"/>
      <w:r w:rsidRPr="00B01581">
        <w:rPr>
          <w:lang w:val="en-IN"/>
        </w:rPr>
        <w:t>/izz185. PMID: 31504518.</w:t>
      </w:r>
    </w:p>
    <w:p w14:paraId="23229D17" w14:textId="7E6A1C3C"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Tanaka, M., Kawakami, A., Sakagami, K. et al. Development and validation of a 13-item short version of the inflammatory bowel disease self-efficacy scale. BMC Gastroenterol 24, 190 (2024). </w:t>
      </w:r>
      <w:hyperlink r:id="rId10">
        <w:r w:rsidRPr="00B01581">
          <w:rPr>
            <w:rStyle w:val="Hyperlink"/>
            <w:lang w:val="en-IN"/>
          </w:rPr>
          <w:t>https://doi.org/10.1186/s12876-024-03206-x</w:t>
        </w:r>
      </w:hyperlink>
    </w:p>
    <w:p w14:paraId="01F147C9" w14:textId="4B7F7913"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Marc Ferrante, Silvio Danese, </w:t>
      </w:r>
      <w:proofErr w:type="spellStart"/>
      <w:r w:rsidRPr="00B01581">
        <w:rPr>
          <w:lang w:val="en-IN"/>
        </w:rPr>
        <w:t>Minhu</w:t>
      </w:r>
      <w:proofErr w:type="spellEnd"/>
      <w:r w:rsidRPr="00B01581">
        <w:rPr>
          <w:lang w:val="en-IN"/>
        </w:rPr>
        <w:t xml:space="preserve"> Chen, Geert D’Haens, Subrata Ghosh, </w:t>
      </w:r>
      <w:proofErr w:type="spellStart"/>
      <w:r w:rsidRPr="00B01581">
        <w:rPr>
          <w:lang w:val="en-IN"/>
        </w:rPr>
        <w:t>Tadakazu</w:t>
      </w:r>
      <w:proofErr w:type="spellEnd"/>
      <w:r w:rsidRPr="00B01581">
        <w:rPr>
          <w:lang w:val="en-IN"/>
        </w:rPr>
        <w:t xml:space="preserve"> Hisamatsu, Vipul Jairath, Jaroslaw Kierkus, Laurent Peyrin-Biroulet, Britta Siegmund, Sonja Michelle Bragg, Wallace Crandall, Theresa Hunter Gibble, </w:t>
      </w:r>
      <w:proofErr w:type="spellStart"/>
      <w:r w:rsidRPr="00B01581">
        <w:rPr>
          <w:lang w:val="en-IN"/>
        </w:rPr>
        <w:t>Zhantao</w:t>
      </w:r>
      <w:proofErr w:type="spellEnd"/>
      <w:r w:rsidRPr="00B01581">
        <w:rPr>
          <w:lang w:val="en-IN"/>
        </w:rPr>
        <w:t xml:space="preserve"> Lin, Michelle Ugolini Lopes, Nathan Morris, Hilde Carlier, Bruce E. Sands, Primary Efficacy and Safety of </w:t>
      </w:r>
      <w:proofErr w:type="spellStart"/>
      <w:r w:rsidRPr="00B01581">
        <w:rPr>
          <w:lang w:val="en-IN"/>
        </w:rPr>
        <w:t>Mirikizumab</w:t>
      </w:r>
      <w:proofErr w:type="spellEnd"/>
      <w:r w:rsidRPr="00B01581">
        <w:rPr>
          <w:lang w:val="en-IN"/>
        </w:rPr>
        <w:t xml:space="preserve"> in Moderate to Severe Crohn’s Disease: Results of the Treat Through VIVID 1 Study, ECCO’24 Congress, 2024.</w:t>
      </w:r>
    </w:p>
    <w:p w14:paraId="205BA7FD" w14:textId="07196D29"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Bretto E, </w:t>
      </w:r>
      <w:proofErr w:type="spellStart"/>
      <w:r w:rsidRPr="00B01581">
        <w:rPr>
          <w:lang w:val="en-IN"/>
        </w:rPr>
        <w:t>Ribaldone</w:t>
      </w:r>
      <w:proofErr w:type="spellEnd"/>
      <w:r w:rsidRPr="00B01581">
        <w:rPr>
          <w:lang w:val="en-IN"/>
        </w:rPr>
        <w:t xml:space="preserve"> DG, Caviglia GP, Saracco GM, </w:t>
      </w:r>
      <w:proofErr w:type="spellStart"/>
      <w:r w:rsidRPr="00B01581">
        <w:rPr>
          <w:lang w:val="en-IN"/>
        </w:rPr>
        <w:t>Bugianesi</w:t>
      </w:r>
      <w:proofErr w:type="spellEnd"/>
      <w:r w:rsidRPr="00B01581">
        <w:rPr>
          <w:lang w:val="en-IN"/>
        </w:rPr>
        <w:t xml:space="preserve"> E, </w:t>
      </w:r>
      <w:proofErr w:type="spellStart"/>
      <w:r w:rsidRPr="00B01581">
        <w:rPr>
          <w:lang w:val="en-IN"/>
        </w:rPr>
        <w:t>Frara</w:t>
      </w:r>
      <w:proofErr w:type="spellEnd"/>
      <w:r w:rsidRPr="00B01581">
        <w:rPr>
          <w:lang w:val="en-IN"/>
        </w:rPr>
        <w:t xml:space="preserve"> S. Inflammatory Bowel Disease: Emerging Therapies and Future Treatment Strategies. Biomedicines. 2023 Aug 11;11(8):2249. </w:t>
      </w:r>
      <w:proofErr w:type="spellStart"/>
      <w:r w:rsidRPr="00B01581">
        <w:rPr>
          <w:lang w:val="en-IN"/>
        </w:rPr>
        <w:t>doi</w:t>
      </w:r>
      <w:proofErr w:type="spellEnd"/>
      <w:r w:rsidRPr="00B01581">
        <w:rPr>
          <w:lang w:val="en-IN"/>
        </w:rPr>
        <w:t>: 10.3390/biomedicines11082249. PMID: 37626745; PMCID: PMC10452708.</w:t>
      </w:r>
    </w:p>
    <w:p w14:paraId="774850B4" w14:textId="270F2402" w:rsidR="00B01581" w:rsidRPr="00B01581" w:rsidRDefault="00B01581" w:rsidP="00B01581">
      <w:pPr>
        <w:pStyle w:val="BodyText"/>
        <w:numPr>
          <w:ilvl w:val="0"/>
          <w:numId w:val="5"/>
        </w:numPr>
        <w:spacing w:before="209" w:line="276" w:lineRule="auto"/>
        <w:ind w:right="166"/>
        <w:rPr>
          <w:lang w:val="en-IN"/>
        </w:rPr>
      </w:pPr>
      <w:r w:rsidRPr="00B01581">
        <w:rPr>
          <w:lang w:val="en-IN"/>
        </w:rPr>
        <w:lastRenderedPageBreak/>
        <w:t xml:space="preserve"> Dubinsky MC, Clemow DB, Hunter Gibble T, Li X, Vermeire S, Hisamatsu T, Travis SPL. Clinical Effect of </w:t>
      </w:r>
      <w:proofErr w:type="spellStart"/>
      <w:r w:rsidRPr="00B01581">
        <w:rPr>
          <w:lang w:val="en-IN"/>
        </w:rPr>
        <w:t>Mirikizumab</w:t>
      </w:r>
      <w:proofErr w:type="spellEnd"/>
      <w:r w:rsidRPr="00B01581">
        <w:rPr>
          <w:lang w:val="en-IN"/>
        </w:rPr>
        <w:t xml:space="preserve"> Treatment on Bowel Urgency in Patients with Moderately to Severely Active Ulcerative Colitis and the Clinical Relevance of Bowel Urgency Improvement for Disease Remission. </w:t>
      </w:r>
      <w:proofErr w:type="spellStart"/>
      <w:r w:rsidRPr="00B01581">
        <w:rPr>
          <w:lang w:val="en-IN"/>
        </w:rPr>
        <w:t>Crohns</w:t>
      </w:r>
      <w:proofErr w:type="spellEnd"/>
      <w:r w:rsidRPr="00B01581">
        <w:rPr>
          <w:lang w:val="en-IN"/>
        </w:rPr>
        <w:t xml:space="preserve"> Colitis 360. 2022 Dec 13;5(1</w:t>
      </w:r>
      <w:proofErr w:type="gramStart"/>
      <w:r w:rsidRPr="00B01581">
        <w:rPr>
          <w:lang w:val="en-IN"/>
        </w:rPr>
        <w:t>):otac</w:t>
      </w:r>
      <w:proofErr w:type="gramEnd"/>
      <w:r w:rsidRPr="00B01581">
        <w:rPr>
          <w:lang w:val="en-IN"/>
        </w:rPr>
        <w:t xml:space="preserve">044. </w:t>
      </w:r>
      <w:proofErr w:type="spellStart"/>
      <w:r w:rsidRPr="00B01581">
        <w:rPr>
          <w:lang w:val="en-IN"/>
        </w:rPr>
        <w:t>doi</w:t>
      </w:r>
      <w:proofErr w:type="spellEnd"/>
      <w:r w:rsidRPr="00B01581">
        <w:rPr>
          <w:lang w:val="en-IN"/>
        </w:rPr>
        <w:t>: 10.1093/</w:t>
      </w:r>
      <w:proofErr w:type="spellStart"/>
      <w:r w:rsidRPr="00B01581">
        <w:rPr>
          <w:lang w:val="en-IN"/>
        </w:rPr>
        <w:t>crocol</w:t>
      </w:r>
      <w:proofErr w:type="spellEnd"/>
      <w:r w:rsidRPr="00B01581">
        <w:rPr>
          <w:lang w:val="en-IN"/>
        </w:rPr>
        <w:t>/otac044. PMID: 36777368; PMCID: PMC9802448.</w:t>
      </w:r>
    </w:p>
    <w:p w14:paraId="2C4CF849" w14:textId="0B6DE783"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Theresa Hunter Gibble, Jake Macey, </w:t>
      </w:r>
      <w:proofErr w:type="spellStart"/>
      <w:r w:rsidRPr="00B01581">
        <w:rPr>
          <w:lang w:val="en-IN"/>
        </w:rPr>
        <w:t>HarrietMakin</w:t>
      </w:r>
      <w:proofErr w:type="spellEnd"/>
      <w:r w:rsidRPr="00B01581">
        <w:rPr>
          <w:lang w:val="en-IN"/>
        </w:rPr>
        <w:t xml:space="preserve">, Rodica Rosu, Katie Mellor, Helen Kitchen, Hilde Carlier, Marla Dubinsky, </w:t>
      </w:r>
      <w:proofErr w:type="gramStart"/>
      <w:r w:rsidRPr="00B01581">
        <w:rPr>
          <w:lang w:val="en-IN"/>
        </w:rPr>
        <w:t>Exit</w:t>
      </w:r>
      <w:proofErr w:type="gramEnd"/>
      <w:r w:rsidRPr="00B01581">
        <w:rPr>
          <w:lang w:val="en-IN"/>
        </w:rPr>
        <w:t xml:space="preserve"> interviews exploring Crohn’s disease patients’ experience of changes in their bowel urgency during the </w:t>
      </w:r>
      <w:proofErr w:type="spellStart"/>
      <w:r w:rsidRPr="00B01581">
        <w:rPr>
          <w:lang w:val="en-IN"/>
        </w:rPr>
        <w:t>mirikizumab</w:t>
      </w:r>
      <w:proofErr w:type="spellEnd"/>
      <w:r w:rsidRPr="00B01581">
        <w:rPr>
          <w:lang w:val="en-IN"/>
        </w:rPr>
        <w:t xml:space="preserve"> Phase 3 clinical trial in adult patients with moderate to severe Crohn’s disease, 2024.</w:t>
      </w:r>
    </w:p>
    <w:p w14:paraId="1FDDDBC4" w14:textId="560BD90E" w:rsidR="00B01581" w:rsidRPr="00B01581" w:rsidRDefault="00B01581" w:rsidP="00B01581">
      <w:pPr>
        <w:pStyle w:val="BodyText"/>
        <w:numPr>
          <w:ilvl w:val="0"/>
          <w:numId w:val="5"/>
        </w:numPr>
        <w:spacing w:before="209" w:line="276" w:lineRule="auto"/>
        <w:ind w:right="166"/>
        <w:rPr>
          <w:lang w:val="en-IN"/>
        </w:rPr>
      </w:pPr>
      <w:r w:rsidRPr="00B01581">
        <w:rPr>
          <w:lang w:val="en-IN"/>
        </w:rPr>
        <w:t xml:space="preserve"> Loftus E, Panaccione R, Parkes G. Risankizumab induction therapy in patients with moderately to severely active ulcerative colitis: efficacy and safety in the randomized phase 3 INSPIRE study</w:t>
      </w:r>
    </w:p>
    <w:p w14:paraId="452CAF20" w14:textId="1D44C07A" w:rsidR="002C4012" w:rsidRPr="002C4012" w:rsidRDefault="002C4012" w:rsidP="00B01581">
      <w:pPr>
        <w:pStyle w:val="BodyText"/>
        <w:spacing w:before="209" w:line="276" w:lineRule="auto"/>
        <w:ind w:left="165" w:right="166"/>
        <w:rPr>
          <w:lang w:val="en-IN"/>
        </w:rPr>
      </w:pPr>
    </w:p>
    <w:p w14:paraId="58F30125" w14:textId="5E4725BB" w:rsidR="00BD7647" w:rsidRDefault="00BD7647" w:rsidP="002C4012">
      <w:pPr>
        <w:pStyle w:val="BodyText"/>
        <w:spacing w:before="209" w:line="276" w:lineRule="auto"/>
        <w:ind w:left="165" w:right="166"/>
      </w:pPr>
    </w:p>
    <w:sectPr w:rsidR="00BD7647" w:rsidSect="002C4012">
      <w:headerReference w:type="default" r:id="rId11"/>
      <w:footerReference w:type="default" r:id="rId12"/>
      <w:type w:val="continuous"/>
      <w:pgSz w:w="11920" w:h="16850"/>
      <w:pgMar w:top="520" w:right="1275" w:bottom="700" w:left="1275" w:header="151"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716C" w14:textId="77777777" w:rsidR="006B25C9" w:rsidRDefault="006B25C9">
      <w:r>
        <w:separator/>
      </w:r>
    </w:p>
  </w:endnote>
  <w:endnote w:type="continuationSeparator" w:id="0">
    <w:p w14:paraId="235C05BF" w14:textId="77777777" w:rsidR="006B25C9" w:rsidRDefault="006B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469" w14:textId="77777777" w:rsidR="00BD7647"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D351B60" wp14:editId="596826FD">
              <wp:simplePos x="0" y="0"/>
              <wp:positionH relativeFrom="page">
                <wp:posOffset>5921502</wp:posOffset>
              </wp:positionH>
              <wp:positionV relativeFrom="page">
                <wp:posOffset>10229629</wp:posOffset>
              </wp:positionV>
              <wp:extent cx="7696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94310"/>
                      </a:xfrm>
                      <a:prstGeom prst="rect">
                        <a:avLst/>
                      </a:prstGeom>
                    </wps:spPr>
                    <wps:txbx>
                      <w:txbxContent>
                        <w:p w14:paraId="4AB377FB" w14:textId="77777777" w:rsidR="00BD7647" w:rsidRDefault="00000000">
                          <w:pPr>
                            <w:pStyle w:val="BodyText"/>
                            <w:spacing w:before="10"/>
                            <w:ind w:left="20"/>
                            <w:jc w:val="left"/>
                          </w:pPr>
                          <w:r>
                            <w:rPr>
                              <w:color w:val="538DD3"/>
                            </w:rPr>
                            <w:t>P a</w:t>
                          </w:r>
                          <w:r>
                            <w:rPr>
                              <w:color w:val="538DD3"/>
                              <w:spacing w:val="-2"/>
                            </w:rPr>
                            <w:t xml:space="preserve"> </w:t>
                          </w:r>
                          <w:r>
                            <w:rPr>
                              <w:color w:val="538DD3"/>
                            </w:rPr>
                            <w:t>g</w:t>
                          </w:r>
                          <w:r>
                            <w:rPr>
                              <w:color w:val="538DD3"/>
                              <w:spacing w:val="-1"/>
                            </w:rPr>
                            <w:t xml:space="preserve"> </w:t>
                          </w:r>
                          <w:r>
                            <w:rPr>
                              <w:color w:val="538DD3"/>
                            </w:rPr>
                            <w:t>e</w:t>
                          </w:r>
                          <w:r>
                            <w:rPr>
                              <w:color w:val="538DD3"/>
                              <w:spacing w:val="60"/>
                            </w:rPr>
                            <w:t xml:space="preserv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w:t>
                          </w:r>
                          <w:r>
                            <w:rPr>
                              <w:color w:val="17365D"/>
                              <w:spacing w:val="-3"/>
                            </w:rPr>
                            <w:t xml:space="preserve"> </w:t>
                          </w:r>
                          <w:r>
                            <w:rPr>
                              <w:color w:val="17365D"/>
                              <w:spacing w:val="-10"/>
                            </w:rPr>
                            <w:fldChar w:fldCharType="begin"/>
                          </w:r>
                          <w:r>
                            <w:rPr>
                              <w:color w:val="17365D"/>
                              <w:spacing w:val="-10"/>
                            </w:rPr>
                            <w:instrText xml:space="preserve"> NUMPAGES </w:instrText>
                          </w:r>
                          <w:r>
                            <w:rPr>
                              <w:color w:val="17365D"/>
                              <w:spacing w:val="-10"/>
                            </w:rPr>
                            <w:fldChar w:fldCharType="separate"/>
                          </w:r>
                          <w:r>
                            <w:rPr>
                              <w:color w:val="17365D"/>
                              <w:spacing w:val="-10"/>
                            </w:rPr>
                            <w:t>8</w:t>
                          </w:r>
                          <w:r>
                            <w:rPr>
                              <w:color w:val="17365D"/>
                              <w:spacing w:val="-10"/>
                            </w:rPr>
                            <w:fldChar w:fldCharType="end"/>
                          </w:r>
                        </w:p>
                      </w:txbxContent>
                    </wps:txbx>
                    <wps:bodyPr wrap="square" lIns="0" tIns="0" rIns="0" bIns="0" rtlCol="0">
                      <a:noAutofit/>
                    </wps:bodyPr>
                  </wps:wsp>
                </a:graphicData>
              </a:graphic>
            </wp:anchor>
          </w:drawing>
        </mc:Choice>
        <mc:Fallback>
          <w:pict>
            <v:shapetype w14:anchorId="5D351B60" id="_x0000_t202" coordsize="21600,21600" o:spt="202" path="m,l,21600r21600,l21600,xe">
              <v:stroke joinstyle="miter"/>
              <v:path gradientshapeok="t" o:connecttype="rect"/>
            </v:shapetype>
            <v:shape id="Textbox 2" o:spid="_x0000_s1027" type="#_x0000_t202" style="position:absolute;margin-left:466.25pt;margin-top:805.5pt;width:60.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" filled="f" stroked="f">
              <v:textbox inset="0,0,0,0">
                <w:txbxContent>
                  <w:p w14:paraId="4AB377FB" w14:textId="77777777" w:rsidR="00BD7647" w:rsidRDefault="00000000">
                    <w:pPr>
                      <w:pStyle w:val="BodyText"/>
                      <w:spacing w:before="10"/>
                      <w:ind w:left="20"/>
                      <w:jc w:val="left"/>
                    </w:pPr>
                    <w:r>
                      <w:rPr>
                        <w:color w:val="538DD3"/>
                      </w:rPr>
                      <w:t>P a</w:t>
                    </w:r>
                    <w:r>
                      <w:rPr>
                        <w:color w:val="538DD3"/>
                        <w:spacing w:val="-2"/>
                      </w:rPr>
                      <w:t xml:space="preserve"> </w:t>
                    </w:r>
                    <w:r>
                      <w:rPr>
                        <w:color w:val="538DD3"/>
                      </w:rPr>
                      <w:t>g</w:t>
                    </w:r>
                    <w:r>
                      <w:rPr>
                        <w:color w:val="538DD3"/>
                        <w:spacing w:val="-1"/>
                      </w:rPr>
                      <w:t xml:space="preserve"> </w:t>
                    </w:r>
                    <w:r>
                      <w:rPr>
                        <w:color w:val="538DD3"/>
                      </w:rPr>
                      <w:t>e</w:t>
                    </w:r>
                    <w:r>
                      <w:rPr>
                        <w:color w:val="538DD3"/>
                        <w:spacing w:val="60"/>
                      </w:rPr>
                      <w:t xml:space="preserv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w:t>
                    </w:r>
                    <w:r>
                      <w:rPr>
                        <w:color w:val="17365D"/>
                        <w:spacing w:val="-3"/>
                      </w:rPr>
                      <w:t xml:space="preserve"> </w:t>
                    </w:r>
                    <w:r>
                      <w:rPr>
                        <w:color w:val="17365D"/>
                        <w:spacing w:val="-10"/>
                      </w:rPr>
                      <w:fldChar w:fldCharType="begin"/>
                    </w:r>
                    <w:r>
                      <w:rPr>
                        <w:color w:val="17365D"/>
                        <w:spacing w:val="-10"/>
                      </w:rPr>
                      <w:instrText xml:space="preserve"> NUMPAGES </w:instrText>
                    </w:r>
                    <w:r>
                      <w:rPr>
                        <w:color w:val="17365D"/>
                        <w:spacing w:val="-10"/>
                      </w:rPr>
                      <w:fldChar w:fldCharType="separate"/>
                    </w:r>
                    <w:r>
                      <w:rPr>
                        <w:color w:val="17365D"/>
                        <w:spacing w:val="-10"/>
                      </w:rPr>
                      <w:t>8</w:t>
                    </w:r>
                    <w:r>
                      <w:rPr>
                        <w:color w:val="17365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50BD" w14:textId="77777777" w:rsidR="006B25C9" w:rsidRDefault="006B25C9">
      <w:r>
        <w:separator/>
      </w:r>
    </w:p>
  </w:footnote>
  <w:footnote w:type="continuationSeparator" w:id="0">
    <w:p w14:paraId="77B25D4C" w14:textId="77777777" w:rsidR="006B25C9" w:rsidRDefault="006B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31E" w14:textId="77777777" w:rsidR="00BD7647"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0C4CAEDD" wp14:editId="74DCFF25">
              <wp:simplePos x="0" y="0"/>
              <wp:positionH relativeFrom="page">
                <wp:posOffset>889812</wp:posOffset>
              </wp:positionH>
              <wp:positionV relativeFrom="page">
                <wp:posOffset>83338</wp:posOffset>
              </wp:positionV>
              <wp:extent cx="54737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180975"/>
                      </a:xfrm>
                      <a:prstGeom prst="rect">
                        <a:avLst/>
                      </a:prstGeom>
                    </wps:spPr>
                    <wps:txbx>
                      <w:txbxContent>
                        <w:p w14:paraId="0BAC8E15" w14:textId="77777777" w:rsidR="00BD7647" w:rsidRDefault="00000000">
                          <w:pPr>
                            <w:spacing w:before="11"/>
                            <w:ind w:left="20"/>
                            <w:rPr>
                              <w:b/>
                            </w:rPr>
                          </w:pPr>
                          <w:r>
                            <w:rPr>
                              <w:b/>
                            </w:rPr>
                            <w:t>INTERNATIONAL</w:t>
                          </w:r>
                          <w:r>
                            <w:rPr>
                              <w:b/>
                              <w:spacing w:val="-11"/>
                            </w:rPr>
                            <w:t xml:space="preserve"> </w:t>
                          </w:r>
                          <w:r>
                            <w:rPr>
                              <w:b/>
                            </w:rPr>
                            <w:t>JOURNAL</w:t>
                          </w:r>
                          <w:r>
                            <w:rPr>
                              <w:b/>
                              <w:spacing w:val="-9"/>
                            </w:rPr>
                            <w:t xml:space="preserve"> </w:t>
                          </w:r>
                          <w:r>
                            <w:rPr>
                              <w:b/>
                            </w:rPr>
                            <w:t>OF</w:t>
                          </w:r>
                          <w:r>
                            <w:rPr>
                              <w:b/>
                              <w:spacing w:val="-8"/>
                            </w:rPr>
                            <w:t xml:space="preserve"> </w:t>
                          </w:r>
                          <w:r>
                            <w:rPr>
                              <w:b/>
                            </w:rPr>
                            <w:t>MULTIDISCIPLINARY</w:t>
                          </w:r>
                          <w:r>
                            <w:rPr>
                              <w:b/>
                              <w:spacing w:val="-9"/>
                            </w:rPr>
                            <w:t xml:space="preserve"> </w:t>
                          </w:r>
                          <w:r>
                            <w:rPr>
                              <w:b/>
                            </w:rPr>
                            <w:t>RESEARCH</w:t>
                          </w:r>
                          <w:r>
                            <w:rPr>
                              <w:b/>
                              <w:spacing w:val="-7"/>
                            </w:rPr>
                            <w:t xml:space="preserve"> </w:t>
                          </w:r>
                          <w:r>
                            <w:rPr>
                              <w:b/>
                            </w:rPr>
                            <w:t>AND</w:t>
                          </w:r>
                          <w:r>
                            <w:rPr>
                              <w:b/>
                              <w:spacing w:val="-8"/>
                            </w:rPr>
                            <w:t xml:space="preserve"> </w:t>
                          </w:r>
                          <w:r>
                            <w:rPr>
                              <w:b/>
                              <w:spacing w:val="-2"/>
                            </w:rPr>
                            <w:t>STUDIES</w:t>
                          </w:r>
                        </w:p>
                      </w:txbxContent>
                    </wps:txbx>
                    <wps:bodyPr wrap="square" lIns="0" tIns="0" rIns="0" bIns="0" rtlCol="0">
                      <a:noAutofit/>
                    </wps:bodyPr>
                  </wps:wsp>
                </a:graphicData>
              </a:graphic>
            </wp:anchor>
          </w:drawing>
        </mc:Choice>
        <mc:Fallback>
          <w:pict>
            <v:shapetype w14:anchorId="0C4CAEDD" id="_x0000_t202" coordsize="21600,21600" o:spt="202" path="m,l,21600r21600,l21600,xe">
              <v:stroke joinstyle="miter"/>
              <v:path gradientshapeok="t" o:connecttype="rect"/>
            </v:shapetype>
            <v:shape id="Textbox 1" o:spid="_x0000_s1026" type="#_x0000_t202" style="position:absolute;margin-left:70.05pt;margin-top:6.55pt;width:431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" filled="f" stroked="f">
              <v:textbox inset="0,0,0,0">
                <w:txbxContent>
                  <w:p w14:paraId="0BAC8E15" w14:textId="77777777" w:rsidR="00BD7647" w:rsidRDefault="00000000">
                    <w:pPr>
                      <w:spacing w:before="11"/>
                      <w:ind w:left="20"/>
                      <w:rPr>
                        <w:b/>
                      </w:rPr>
                    </w:pPr>
                    <w:r>
                      <w:rPr>
                        <w:b/>
                      </w:rPr>
                      <w:t>INTERNATIONAL</w:t>
                    </w:r>
                    <w:r>
                      <w:rPr>
                        <w:b/>
                        <w:spacing w:val="-11"/>
                      </w:rPr>
                      <w:t xml:space="preserve"> </w:t>
                    </w:r>
                    <w:r>
                      <w:rPr>
                        <w:b/>
                      </w:rPr>
                      <w:t>JOURNAL</w:t>
                    </w:r>
                    <w:r>
                      <w:rPr>
                        <w:b/>
                        <w:spacing w:val="-9"/>
                      </w:rPr>
                      <w:t xml:space="preserve"> </w:t>
                    </w:r>
                    <w:r>
                      <w:rPr>
                        <w:b/>
                      </w:rPr>
                      <w:t>OF</w:t>
                    </w:r>
                    <w:r>
                      <w:rPr>
                        <w:b/>
                        <w:spacing w:val="-8"/>
                      </w:rPr>
                      <w:t xml:space="preserve"> </w:t>
                    </w:r>
                    <w:r>
                      <w:rPr>
                        <w:b/>
                      </w:rPr>
                      <w:t>MULTIDISCIPLINARY</w:t>
                    </w:r>
                    <w:r>
                      <w:rPr>
                        <w:b/>
                        <w:spacing w:val="-9"/>
                      </w:rPr>
                      <w:t xml:space="preserve"> </w:t>
                    </w:r>
                    <w:r>
                      <w:rPr>
                        <w:b/>
                      </w:rPr>
                      <w:t>RESEARCH</w:t>
                    </w:r>
                    <w:r>
                      <w:rPr>
                        <w:b/>
                        <w:spacing w:val="-7"/>
                      </w:rPr>
                      <w:t xml:space="preserve"> </w:t>
                    </w:r>
                    <w:r>
                      <w:rPr>
                        <w:b/>
                      </w:rPr>
                      <w:t>AND</w:t>
                    </w:r>
                    <w:r>
                      <w:rPr>
                        <w:b/>
                        <w:spacing w:val="-8"/>
                      </w:rPr>
                      <w:t xml:space="preserve"> </w:t>
                    </w:r>
                    <w:r>
                      <w:rPr>
                        <w:b/>
                        <w:spacing w:val="-2"/>
                      </w:rPr>
                      <w:t>STUDIES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C34"/>
    <w:multiLevelType w:val="hybridMultilevel"/>
    <w:tmpl w:val="A2787052"/>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1" w15:restartNumberingAfterBreak="0">
    <w:nsid w:val="244A688B"/>
    <w:multiLevelType w:val="hybridMultilevel"/>
    <w:tmpl w:val="DD1283C0"/>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2" w15:restartNumberingAfterBreak="0">
    <w:nsid w:val="26E84448"/>
    <w:multiLevelType w:val="hybridMultilevel"/>
    <w:tmpl w:val="5EBA93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194B2B"/>
    <w:multiLevelType w:val="hybridMultilevel"/>
    <w:tmpl w:val="0C102936"/>
    <w:lvl w:ilvl="0" w:tplc="8B7EF3B8">
      <w:start w:val="1"/>
      <w:numFmt w:val="decimal"/>
      <w:lvlText w:val="%1."/>
      <w:lvlJc w:val="left"/>
      <w:pPr>
        <w:ind w:left="575" w:hanging="411"/>
      </w:pPr>
      <w:rPr>
        <w:rFonts w:ascii="Times New Roman" w:eastAsia="Times New Roman" w:hAnsi="Times New Roman" w:cs="Times New Roman" w:hint="default"/>
        <w:b/>
        <w:bCs/>
        <w:i w:val="0"/>
        <w:iCs w:val="0"/>
        <w:spacing w:val="0"/>
        <w:w w:val="100"/>
        <w:sz w:val="24"/>
        <w:szCs w:val="24"/>
        <w:lang w:val="en-US" w:eastAsia="en-US" w:bidi="ar-SA"/>
      </w:rPr>
    </w:lvl>
    <w:lvl w:ilvl="1" w:tplc="99388950">
      <w:numFmt w:val="bullet"/>
      <w:lvlText w:val="•"/>
      <w:lvlJc w:val="left"/>
      <w:pPr>
        <w:ind w:left="1458" w:hanging="411"/>
      </w:pPr>
      <w:rPr>
        <w:rFonts w:hint="default"/>
        <w:lang w:val="en-US" w:eastAsia="en-US" w:bidi="ar-SA"/>
      </w:rPr>
    </w:lvl>
    <w:lvl w:ilvl="2" w:tplc="285473B4">
      <w:numFmt w:val="bullet"/>
      <w:lvlText w:val="•"/>
      <w:lvlJc w:val="left"/>
      <w:pPr>
        <w:ind w:left="2336" w:hanging="411"/>
      </w:pPr>
      <w:rPr>
        <w:rFonts w:hint="default"/>
        <w:lang w:val="en-US" w:eastAsia="en-US" w:bidi="ar-SA"/>
      </w:rPr>
    </w:lvl>
    <w:lvl w:ilvl="3" w:tplc="32228E60">
      <w:numFmt w:val="bullet"/>
      <w:lvlText w:val="•"/>
      <w:lvlJc w:val="left"/>
      <w:pPr>
        <w:ind w:left="3214" w:hanging="411"/>
      </w:pPr>
      <w:rPr>
        <w:rFonts w:hint="default"/>
        <w:lang w:val="en-US" w:eastAsia="en-US" w:bidi="ar-SA"/>
      </w:rPr>
    </w:lvl>
    <w:lvl w:ilvl="4" w:tplc="8E98D226">
      <w:numFmt w:val="bullet"/>
      <w:lvlText w:val="•"/>
      <w:lvlJc w:val="left"/>
      <w:pPr>
        <w:ind w:left="4092" w:hanging="411"/>
      </w:pPr>
      <w:rPr>
        <w:rFonts w:hint="default"/>
        <w:lang w:val="en-US" w:eastAsia="en-US" w:bidi="ar-SA"/>
      </w:rPr>
    </w:lvl>
    <w:lvl w:ilvl="5" w:tplc="747AE84C">
      <w:numFmt w:val="bullet"/>
      <w:lvlText w:val="•"/>
      <w:lvlJc w:val="left"/>
      <w:pPr>
        <w:ind w:left="4970" w:hanging="411"/>
      </w:pPr>
      <w:rPr>
        <w:rFonts w:hint="default"/>
        <w:lang w:val="en-US" w:eastAsia="en-US" w:bidi="ar-SA"/>
      </w:rPr>
    </w:lvl>
    <w:lvl w:ilvl="6" w:tplc="64E083D0">
      <w:numFmt w:val="bullet"/>
      <w:lvlText w:val="•"/>
      <w:lvlJc w:val="left"/>
      <w:pPr>
        <w:ind w:left="5848" w:hanging="411"/>
      </w:pPr>
      <w:rPr>
        <w:rFonts w:hint="default"/>
        <w:lang w:val="en-US" w:eastAsia="en-US" w:bidi="ar-SA"/>
      </w:rPr>
    </w:lvl>
    <w:lvl w:ilvl="7" w:tplc="5158F5A0">
      <w:numFmt w:val="bullet"/>
      <w:lvlText w:val="•"/>
      <w:lvlJc w:val="left"/>
      <w:pPr>
        <w:ind w:left="6726" w:hanging="411"/>
      </w:pPr>
      <w:rPr>
        <w:rFonts w:hint="default"/>
        <w:lang w:val="en-US" w:eastAsia="en-US" w:bidi="ar-SA"/>
      </w:rPr>
    </w:lvl>
    <w:lvl w:ilvl="8" w:tplc="8C562DCE">
      <w:numFmt w:val="bullet"/>
      <w:lvlText w:val="•"/>
      <w:lvlJc w:val="left"/>
      <w:pPr>
        <w:ind w:left="7604" w:hanging="411"/>
      </w:pPr>
      <w:rPr>
        <w:rFonts w:hint="default"/>
        <w:lang w:val="en-US" w:eastAsia="en-US" w:bidi="ar-SA"/>
      </w:rPr>
    </w:lvl>
  </w:abstractNum>
  <w:abstractNum w:abstractNumId="4" w15:restartNumberingAfterBreak="0">
    <w:nsid w:val="70901E1D"/>
    <w:multiLevelType w:val="hybridMultilevel"/>
    <w:tmpl w:val="0DBA1694"/>
    <w:lvl w:ilvl="0" w:tplc="4009000F">
      <w:start w:val="1"/>
      <w:numFmt w:val="decimal"/>
      <w:lvlText w:val="%1."/>
      <w:lvlJc w:val="left"/>
      <w:pPr>
        <w:ind w:left="525" w:hanging="360"/>
      </w:p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num w:numId="1" w16cid:durableId="963006352">
    <w:abstractNumId w:val="3"/>
  </w:num>
  <w:num w:numId="2" w16cid:durableId="1094977977">
    <w:abstractNumId w:val="2"/>
  </w:num>
  <w:num w:numId="3" w16cid:durableId="1444576444">
    <w:abstractNumId w:val="0"/>
  </w:num>
  <w:num w:numId="4" w16cid:durableId="1323586786">
    <w:abstractNumId w:val="1"/>
  </w:num>
  <w:num w:numId="5" w16cid:durableId="184886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47"/>
    <w:rsid w:val="0013531A"/>
    <w:rsid w:val="002C4012"/>
    <w:rsid w:val="0033615D"/>
    <w:rsid w:val="00410AFE"/>
    <w:rsid w:val="006B25C9"/>
    <w:rsid w:val="0088063E"/>
    <w:rsid w:val="00B01581"/>
    <w:rsid w:val="00BA0326"/>
    <w:rsid w:val="00BD7647"/>
    <w:rsid w:val="00C20E84"/>
    <w:rsid w:val="00DE61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7C6E"/>
  <w15:docId w15:val="{215EEC14-E77D-4A50-A8E2-BDC9839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spacing w:before="166"/>
      <w:ind w:left="165"/>
      <w:jc w:val="both"/>
      <w:outlineLvl w:val="1"/>
    </w:pPr>
    <w:rPr>
      <w:b/>
      <w:bCs/>
      <w:sz w:val="24"/>
      <w:szCs w:val="24"/>
    </w:rPr>
  </w:style>
  <w:style w:type="paragraph" w:styleId="Heading3">
    <w:name w:val="heading 3"/>
    <w:basedOn w:val="Normal"/>
    <w:next w:val="Normal"/>
    <w:link w:val="Heading3Char"/>
    <w:uiPriority w:val="9"/>
    <w:semiHidden/>
    <w:unhideWhenUsed/>
    <w:qFormat/>
    <w:rsid w:val="002C40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40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9"/>
      <w:ind w:left="575"/>
      <w:jc w:val="both"/>
    </w:pPr>
    <w:rPr>
      <w:sz w:val="24"/>
      <w:szCs w:val="24"/>
    </w:rPr>
  </w:style>
  <w:style w:type="paragraph" w:styleId="ListParagraph">
    <w:name w:val="List Paragraph"/>
    <w:basedOn w:val="Normal"/>
    <w:uiPriority w:val="1"/>
    <w:qFormat/>
    <w:pPr>
      <w:spacing w:before="169"/>
      <w:ind w:left="575" w:hanging="411"/>
    </w:pPr>
  </w:style>
  <w:style w:type="paragraph" w:customStyle="1" w:styleId="TableParagraph">
    <w:name w:val="Table Paragraph"/>
    <w:basedOn w:val="Normal"/>
    <w:uiPriority w:val="1"/>
    <w:qFormat/>
    <w:pPr>
      <w:ind w:right="59"/>
      <w:jc w:val="center"/>
    </w:pPr>
    <w:rPr>
      <w:rFonts w:ascii="Calibri" w:eastAsia="Calibri" w:hAnsi="Calibri" w:cs="Calibri"/>
    </w:rPr>
  </w:style>
  <w:style w:type="character" w:customStyle="1" w:styleId="Heading3Char">
    <w:name w:val="Heading 3 Char"/>
    <w:basedOn w:val="DefaultParagraphFont"/>
    <w:link w:val="Heading3"/>
    <w:uiPriority w:val="9"/>
    <w:semiHidden/>
    <w:rsid w:val="002C40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C4012"/>
    <w:rPr>
      <w:rFonts w:asciiTheme="majorHAnsi" w:eastAsiaTheme="majorEastAsia" w:hAnsiTheme="majorHAnsi" w:cstheme="majorBidi"/>
      <w:i/>
      <w:iCs/>
      <w:color w:val="365F91" w:themeColor="accent1" w:themeShade="BF"/>
    </w:rPr>
  </w:style>
  <w:style w:type="character" w:styleId="LineNumber">
    <w:name w:val="line number"/>
    <w:basedOn w:val="DefaultParagraphFont"/>
    <w:uiPriority w:val="99"/>
    <w:rsid w:val="00B01581"/>
    <w:rPr>
      <w:rFonts w:asciiTheme="minorHAnsi" w:hAnsiTheme="minorHAnsi" w:cs="Times New Roman"/>
      <w:sz w:val="22"/>
    </w:rPr>
  </w:style>
  <w:style w:type="character" w:styleId="Hyperlink">
    <w:name w:val="Hyperlink"/>
    <w:basedOn w:val="DefaultParagraphFont"/>
    <w:uiPriority w:val="99"/>
    <w:unhideWhenUsed/>
    <w:rsid w:val="00B01581"/>
    <w:rPr>
      <w:color w:val="0000FF" w:themeColor="hyperlink"/>
      <w:u w:val="single"/>
    </w:rPr>
  </w:style>
  <w:style w:type="character" w:styleId="UnresolvedMention">
    <w:name w:val="Unresolved Mention"/>
    <w:basedOn w:val="DefaultParagraphFont"/>
    <w:uiPriority w:val="99"/>
    <w:semiHidden/>
    <w:unhideWhenUsed/>
    <w:rsid w:val="00B01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jmra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86/s12876-024-03206-x" TargetMode="External"/><Relationship Id="rId4" Type="http://schemas.openxmlformats.org/officeDocument/2006/relationships/webSettings" Target="webSettings.xml"/><Relationship Id="rId9" Type="http://schemas.openxmlformats.org/officeDocument/2006/relationships/hyperlink" Target="https://doi.org/10.1186/s12876-024-0323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Niraj Sonkusre</dc:creator>
  <cp:lastModifiedBy>Sachin Patidar</cp:lastModifiedBy>
  <cp:revision>2</cp:revision>
  <dcterms:created xsi:type="dcterms:W3CDTF">2025-11-05T11:40:00Z</dcterms:created>
  <dcterms:modified xsi:type="dcterms:W3CDTF">2025-11-05T11:40:00Z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2019</vt:lpwstr>
  </property>
  <property fmtid="{D5CDD505-2E9C-101B-9397-08002B2CF9AE}" pid="4" name="LastSaved">
    <vt:filetime>2025-09-22T00:00:00Z</vt:filetime>
  </property>
  <property fmtid="{D5CDD505-2E9C-101B-9397-08002B2CF9AE}" pid="5" name="Producer">
    <vt:lpwstr>Microsoft® Word 2019</vt:lpwstr>
  </property>
</Properties>
</file>